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5762" w14:textId="77777777" w:rsidR="008478B4" w:rsidRDefault="008478B4" w:rsidP="008478B4"/>
    <w:p w14:paraId="56D86515" w14:textId="160E357D" w:rsidR="002F7F01" w:rsidRPr="00902C25" w:rsidRDefault="00902C25" w:rsidP="00902C25">
      <w:pPr>
        <w:pStyle w:val="Heading1"/>
        <w:rPr>
          <w:rFonts w:ascii="VIC" w:hAnsi="VIC"/>
          <w:color w:val="D97C00"/>
          <w:sz w:val="48"/>
          <w:szCs w:val="48"/>
        </w:rPr>
      </w:pPr>
      <w:r>
        <w:rPr>
          <w:rFonts w:ascii="VIC" w:hAnsi="VIC"/>
          <w:color w:val="D97C00"/>
          <w:sz w:val="48"/>
          <w:szCs w:val="48"/>
        </w:rPr>
        <w:t xml:space="preserve">HSV </w:t>
      </w:r>
      <w:r w:rsidR="00DB0ACF">
        <w:rPr>
          <w:rFonts w:ascii="VIC" w:hAnsi="VIC"/>
          <w:color w:val="D97C00"/>
          <w:sz w:val="48"/>
          <w:szCs w:val="48"/>
        </w:rPr>
        <w:t>compliance framework</w:t>
      </w:r>
    </w:p>
    <w:p w14:paraId="7B94EDD8" w14:textId="0C9FF77A" w:rsidR="00DB0ACF" w:rsidRPr="00A1226B" w:rsidRDefault="00DB0ACF" w:rsidP="00F432D4">
      <w:r w:rsidRPr="00A1226B">
        <w:t>A part of HSV's legislative function under the </w:t>
      </w:r>
      <w:r w:rsidRPr="00A1226B">
        <w:rPr>
          <w:i/>
          <w:iCs/>
        </w:rPr>
        <w:t>Health Services Act 1988 (Vic)</w:t>
      </w:r>
      <w:r w:rsidRPr="00A1226B">
        <w:t> is to monitor health service compliance with the HSV Purchasing Policies (HSV PPs). We do this by assessing the various reports health services must submit to us.</w:t>
      </w:r>
    </w:p>
    <w:p w14:paraId="1B758409" w14:textId="77777777" w:rsidR="00DB0ACF" w:rsidRDefault="00DB0ACF" w:rsidP="00DB0ACF">
      <w:r w:rsidRPr="00A1226B">
        <w:t>If we identify areas of non-compliance, we use the HSV compliance framework (the framework) to assess the issue(s) and to determine next steps.</w:t>
      </w:r>
    </w:p>
    <w:p w14:paraId="530C09AB" w14:textId="77777777" w:rsidR="00DB0ACF" w:rsidRPr="00DB0ACF" w:rsidRDefault="00DB0ACF" w:rsidP="00DB0ACF">
      <w:r w:rsidRPr="00DB0ACF">
        <w:t>The framework is a set of structured guidelines and practices that:</w:t>
      </w:r>
    </w:p>
    <w:p w14:paraId="0FDBD85D" w14:textId="77777777" w:rsidR="00DB0ACF" w:rsidRPr="00DB0ACF" w:rsidRDefault="00DB0ACF" w:rsidP="00DB0ACF">
      <w:pPr>
        <w:pStyle w:val="ListParagraph"/>
        <w:numPr>
          <w:ilvl w:val="0"/>
          <w:numId w:val="24"/>
        </w:numPr>
      </w:pPr>
      <w:r w:rsidRPr="00DB0ACF">
        <w:t>encourages low level intervention for compliance issues</w:t>
      </w:r>
    </w:p>
    <w:p w14:paraId="00082934" w14:textId="77777777" w:rsidR="00DB0ACF" w:rsidRPr="00DB0ACF" w:rsidRDefault="00DB0ACF" w:rsidP="00DB0ACF">
      <w:pPr>
        <w:pStyle w:val="ListParagraph"/>
        <w:numPr>
          <w:ilvl w:val="0"/>
          <w:numId w:val="24"/>
        </w:numPr>
      </w:pPr>
      <w:r w:rsidRPr="00DB0ACF">
        <w:t>considers a health service’s capacity to comply</w:t>
      </w:r>
    </w:p>
    <w:p w14:paraId="542152F5" w14:textId="77777777" w:rsidR="00DB0ACF" w:rsidRPr="00DB0ACF" w:rsidRDefault="00DB0ACF" w:rsidP="00DB0ACF">
      <w:pPr>
        <w:pStyle w:val="ListParagraph"/>
        <w:numPr>
          <w:ilvl w:val="0"/>
          <w:numId w:val="24"/>
        </w:numPr>
      </w:pPr>
      <w:r w:rsidRPr="00DB0ACF">
        <w:t>considers a health service’s behaviour and compliance history</w:t>
      </w:r>
    </w:p>
    <w:p w14:paraId="1D785B25" w14:textId="77777777" w:rsidR="00DB0ACF" w:rsidRPr="00DB0ACF" w:rsidRDefault="00DB0ACF" w:rsidP="00DB0ACF">
      <w:pPr>
        <w:pStyle w:val="ListParagraph"/>
        <w:numPr>
          <w:ilvl w:val="0"/>
          <w:numId w:val="24"/>
        </w:numPr>
      </w:pPr>
      <w:r w:rsidRPr="00DB0ACF">
        <w:t>promotes actions in proportion with the assessed level of risk</w:t>
      </w:r>
    </w:p>
    <w:p w14:paraId="2D4D6F43" w14:textId="77777777" w:rsidR="00DB0ACF" w:rsidRPr="00DB0ACF" w:rsidRDefault="00DB0ACF" w:rsidP="00DB0ACF">
      <w:pPr>
        <w:pStyle w:val="ListParagraph"/>
        <w:numPr>
          <w:ilvl w:val="0"/>
          <w:numId w:val="24"/>
        </w:numPr>
      </w:pPr>
      <w:r w:rsidRPr="00DB0ACF">
        <w:t>provides flexibility to escalate or de-escalate issues as required</w:t>
      </w:r>
    </w:p>
    <w:p w14:paraId="0EB2287F" w14:textId="77777777" w:rsidR="00DB0ACF" w:rsidRPr="00DB0ACF" w:rsidRDefault="00DB0ACF" w:rsidP="00DB0ACF">
      <w:pPr>
        <w:pStyle w:val="ListParagraph"/>
        <w:numPr>
          <w:ilvl w:val="0"/>
          <w:numId w:val="24"/>
        </w:numPr>
      </w:pPr>
      <w:r w:rsidRPr="00DB0ACF">
        <w:t>promotes evidence-based decision making.</w:t>
      </w:r>
    </w:p>
    <w:p w14:paraId="63C84ABB" w14:textId="77777777" w:rsidR="00DB0ACF" w:rsidRPr="00DB0ACF" w:rsidRDefault="00DB0ACF" w:rsidP="00DB0ACF">
      <w:r w:rsidRPr="00DB0ACF">
        <w:t>The framework has three pillars, including:</w:t>
      </w:r>
    </w:p>
    <w:p w14:paraId="15E7C36D" w14:textId="77777777" w:rsidR="00DB0ACF" w:rsidRPr="00DB0ACF" w:rsidRDefault="00DB0ACF" w:rsidP="00DB0ACF">
      <w:pPr>
        <w:pStyle w:val="ListParagraph"/>
        <w:numPr>
          <w:ilvl w:val="0"/>
          <w:numId w:val="25"/>
        </w:numPr>
      </w:pPr>
      <w:r w:rsidRPr="00DB0ACF">
        <w:t>Support and prevention</w:t>
      </w:r>
    </w:p>
    <w:p w14:paraId="7740D7C1" w14:textId="77777777" w:rsidR="00DB0ACF" w:rsidRPr="00DB0ACF" w:rsidRDefault="00DB0ACF" w:rsidP="00DB0ACF">
      <w:pPr>
        <w:pStyle w:val="ListParagraph"/>
        <w:numPr>
          <w:ilvl w:val="0"/>
          <w:numId w:val="25"/>
        </w:numPr>
      </w:pPr>
      <w:r w:rsidRPr="00DB0ACF">
        <w:t>Compliance monitoring</w:t>
      </w:r>
    </w:p>
    <w:p w14:paraId="5B859790" w14:textId="392B816E" w:rsidR="00DB0ACF" w:rsidRPr="00A1226B" w:rsidRDefault="00DB0ACF" w:rsidP="00DB0ACF">
      <w:pPr>
        <w:pStyle w:val="ListParagraph"/>
        <w:numPr>
          <w:ilvl w:val="0"/>
          <w:numId w:val="25"/>
        </w:numPr>
      </w:pPr>
      <w:r w:rsidRPr="00DB0ACF">
        <w:t>Compliance priorities</w:t>
      </w:r>
    </w:p>
    <w:tbl>
      <w:tblPr>
        <w:tblStyle w:val="ListTable3-Accent3"/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120DE" w:rsidRPr="007120DE" w14:paraId="01280BF7" w14:textId="77777777" w:rsidTr="00712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2EA3"/>
            <w:vAlign w:val="center"/>
          </w:tcPr>
          <w:p w14:paraId="10935CA6" w14:textId="12A48FA3" w:rsidR="00DB0ACF" w:rsidRPr="007120DE" w:rsidRDefault="00DB0ACF" w:rsidP="00DB0ACF">
            <w:pPr>
              <w:jc w:val="center"/>
              <w:rPr>
                <w:sz w:val="24"/>
                <w:szCs w:val="24"/>
              </w:rPr>
            </w:pPr>
            <w:r w:rsidRPr="007120DE">
              <w:rPr>
                <w:sz w:val="24"/>
                <w:szCs w:val="24"/>
              </w:rPr>
              <w:t>HSV compliance framework</w:t>
            </w:r>
          </w:p>
        </w:tc>
      </w:tr>
      <w:tr w:rsidR="007120DE" w:rsidRPr="007120DE" w14:paraId="7F3889F2" w14:textId="77777777" w:rsidTr="00712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BC25F" w14:textId="389131A9" w:rsidR="00DB0ACF" w:rsidRPr="007120DE" w:rsidRDefault="00DB0ACF" w:rsidP="00DB0ACF">
            <w:pPr>
              <w:jc w:val="center"/>
              <w:rPr>
                <w:b/>
                <w:bCs w:val="0"/>
              </w:rPr>
            </w:pPr>
            <w:r w:rsidRPr="007120DE">
              <w:rPr>
                <w:b/>
                <w:bCs w:val="0"/>
              </w:rPr>
              <w:t>Support and prevention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C9AEB" w14:textId="2E28EBDE" w:rsidR="00DB0ACF" w:rsidRPr="007120DE" w:rsidRDefault="00DB0ACF" w:rsidP="00DB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120DE">
              <w:rPr>
                <w:b/>
              </w:rPr>
              <w:t>Compliance monitoring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FEC22" w14:textId="3663FEB4" w:rsidR="00DB0ACF" w:rsidRPr="007120DE" w:rsidRDefault="00DB0ACF" w:rsidP="00DB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120DE">
              <w:rPr>
                <w:b/>
              </w:rPr>
              <w:t>Compliance priorities</w:t>
            </w:r>
          </w:p>
        </w:tc>
      </w:tr>
      <w:tr w:rsidR="00DB0ACF" w14:paraId="175BEDE7" w14:textId="77777777" w:rsidTr="00712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E689B" w14:textId="4A9661A2" w:rsidR="00DB0ACF" w:rsidRPr="007120DE" w:rsidRDefault="00DB0ACF" w:rsidP="007120DE">
            <w:pPr>
              <w:pStyle w:val="ListParagraph"/>
              <w:numPr>
                <w:ilvl w:val="0"/>
                <w:numId w:val="32"/>
              </w:numPr>
              <w:rPr>
                <w:bCs w:val="0"/>
              </w:rPr>
            </w:pPr>
            <w:r w:rsidRPr="007120DE">
              <w:rPr>
                <w:bCs w:val="0"/>
              </w:rPr>
              <w:t>Ongoing support and guidance and probity training</w:t>
            </w:r>
            <w:r w:rsidR="007120DE">
              <w:rPr>
                <w:bCs w:val="0"/>
              </w:rPr>
              <w:t>.</w:t>
            </w:r>
          </w:p>
          <w:p w14:paraId="387DCA35" w14:textId="062C5AEC" w:rsidR="007120DE" w:rsidRPr="007120DE" w:rsidRDefault="00DB0ACF" w:rsidP="007120DE">
            <w:pPr>
              <w:pStyle w:val="ListParagraph"/>
              <w:numPr>
                <w:ilvl w:val="0"/>
                <w:numId w:val="32"/>
              </w:numPr>
              <w:rPr>
                <w:bCs w:val="0"/>
              </w:rPr>
            </w:pPr>
            <w:r w:rsidRPr="007120DE">
              <w:rPr>
                <w:bCs w:val="0"/>
              </w:rPr>
              <w:t>Guidance and selective intervention for high risk/high value procurement</w:t>
            </w:r>
            <w:r w:rsidR="007120DE">
              <w:rPr>
                <w:bCs w:val="0"/>
              </w:rPr>
              <w:t>.</w:t>
            </w:r>
          </w:p>
          <w:p w14:paraId="785FC0B2" w14:textId="6EA8C5C1" w:rsidR="007120DE" w:rsidRPr="007120DE" w:rsidRDefault="00DB0ACF" w:rsidP="007120DE">
            <w:pPr>
              <w:pStyle w:val="ListParagraph"/>
              <w:numPr>
                <w:ilvl w:val="0"/>
                <w:numId w:val="32"/>
              </w:numPr>
            </w:pPr>
            <w:r w:rsidRPr="007120DE">
              <w:rPr>
                <w:bCs w:val="0"/>
              </w:rPr>
              <w:t>Submissions for the Procurement Activity Plan to inform our annual sourcing program</w:t>
            </w:r>
            <w:r w:rsidR="007120DE">
              <w:rPr>
                <w:bCs w:val="0"/>
              </w:rPr>
              <w:t>.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5AC28D17" w14:textId="398941D1" w:rsidR="007120DE" w:rsidRPr="007120DE" w:rsidRDefault="007120DE" w:rsidP="007120DE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20DE">
              <w:t>Compliance audits</w:t>
            </w:r>
            <w:r w:rsidR="00BF2D94">
              <w:t>.</w:t>
            </w:r>
          </w:p>
          <w:p w14:paraId="74AB8604" w14:textId="77777777" w:rsidR="007120DE" w:rsidRPr="007120DE" w:rsidRDefault="007120DE" w:rsidP="007120DE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20DE">
              <w:t>Annual compliance self-assessment.</w:t>
            </w:r>
          </w:p>
          <w:p w14:paraId="73413F69" w14:textId="77777777" w:rsidR="007120DE" w:rsidRPr="007120DE" w:rsidRDefault="007120DE" w:rsidP="007120DE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20DE">
              <w:t>Attestation to HSV Purchasing Policies.</w:t>
            </w:r>
          </w:p>
          <w:p w14:paraId="292A9801" w14:textId="470FF77D" w:rsidR="007120DE" w:rsidRPr="007120DE" w:rsidRDefault="007120DE" w:rsidP="007120DE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20DE">
              <w:t>Ongoing obligation to report high risk non-compliance</w:t>
            </w:r>
            <w:r>
              <w:t>.</w:t>
            </w:r>
          </w:p>
          <w:p w14:paraId="0C705D32" w14:textId="07579C33" w:rsidR="00DB0ACF" w:rsidRPr="007120DE" w:rsidRDefault="007120DE" w:rsidP="007120DE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20DE">
              <w:t>Submission of on-selling registers</w:t>
            </w:r>
            <w:r>
              <w:t>.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14:paraId="504F6F46" w14:textId="77777777" w:rsidR="007120DE" w:rsidRPr="007120DE" w:rsidRDefault="007120DE" w:rsidP="007120DE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20DE">
              <w:t>Targeted initiatives to address patterns of non-compliance and integrated application of regulatory methods, tools and approaches.</w:t>
            </w:r>
          </w:p>
          <w:p w14:paraId="4DB40F05" w14:textId="72F23105" w:rsidR="00DB0ACF" w:rsidRDefault="00DB0ACF" w:rsidP="00092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20DE" w:rsidRPr="007120DE" w14:paraId="6BF1649A" w14:textId="77777777" w:rsidTr="00712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3EE2" w14:textId="6B133E25" w:rsidR="00DB0ACF" w:rsidRPr="007120DE" w:rsidRDefault="00DB0ACF" w:rsidP="00DB0ACF">
            <w:pPr>
              <w:jc w:val="center"/>
              <w:rPr>
                <w:b/>
                <w:bCs w:val="0"/>
              </w:rPr>
            </w:pPr>
            <w:r w:rsidRPr="007120DE">
              <w:rPr>
                <w:b/>
                <w:bCs w:val="0"/>
              </w:rPr>
              <w:t>Graduated compliance</w:t>
            </w:r>
          </w:p>
        </w:tc>
      </w:tr>
      <w:tr w:rsidR="007120DE" w:rsidRPr="007120DE" w14:paraId="46130F81" w14:textId="77777777" w:rsidTr="00712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969E" w14:textId="5EE7CB76" w:rsidR="00DB0ACF" w:rsidRPr="007120DE" w:rsidRDefault="00DB0ACF" w:rsidP="00DB0ACF">
            <w:pPr>
              <w:jc w:val="center"/>
              <w:rPr>
                <w:b/>
                <w:bCs w:val="0"/>
              </w:rPr>
            </w:pPr>
            <w:r w:rsidRPr="007120DE">
              <w:rPr>
                <w:b/>
                <w:bCs w:val="0"/>
              </w:rPr>
              <w:t xml:space="preserve">Foundation: </w:t>
            </w:r>
            <w:r w:rsidRPr="007120DE">
              <w:rPr>
                <w:b/>
                <w:bCs w:val="0"/>
                <w:i/>
                <w:iCs/>
              </w:rPr>
              <w:t xml:space="preserve">Health Services Act 1988 (Vic) </w:t>
            </w:r>
            <w:r w:rsidRPr="007120DE">
              <w:rPr>
                <w:b/>
                <w:bCs w:val="0"/>
              </w:rPr>
              <w:t>and the HSV Health Purchasing Policies</w:t>
            </w:r>
          </w:p>
        </w:tc>
      </w:tr>
    </w:tbl>
    <w:p w14:paraId="12D3EEBE" w14:textId="77777777" w:rsidR="0009236A" w:rsidRPr="00E15554" w:rsidRDefault="0009236A" w:rsidP="002F7F01"/>
    <w:sectPr w:rsidR="0009236A" w:rsidRPr="00E15554" w:rsidSect="007120DE">
      <w:headerReference w:type="default" r:id="rId13"/>
      <w:footerReference w:type="default" r:id="rId14"/>
      <w:pgSz w:w="11906" w:h="16838" w:code="9"/>
      <w:pgMar w:top="1134" w:right="1134" w:bottom="1134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A4816" w14:textId="77777777" w:rsidR="005A53DB" w:rsidRDefault="005A53DB" w:rsidP="00774177">
      <w:pPr>
        <w:spacing w:before="0" w:after="0" w:line="240" w:lineRule="auto"/>
      </w:pPr>
      <w:r>
        <w:separator/>
      </w:r>
    </w:p>
  </w:endnote>
  <w:endnote w:type="continuationSeparator" w:id="0">
    <w:p w14:paraId="5E176214" w14:textId="77777777" w:rsidR="005A53DB" w:rsidRDefault="005A53DB" w:rsidP="007741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09BF" w14:textId="77777777" w:rsidR="00080B48" w:rsidRDefault="00080B48" w:rsidP="00080B48">
    <w:pPr>
      <w:pStyle w:val="NoSpacing"/>
      <w:rPr>
        <w:sz w:val="10"/>
      </w:rPr>
    </w:pPr>
  </w:p>
  <w:tbl>
    <w:tblPr>
      <w:tblStyle w:val="PlainTable4"/>
      <w:tblW w:w="5000" w:type="pct"/>
      <w:tblInd w:w="0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12"/>
      <w:gridCol w:w="3213"/>
      <w:gridCol w:w="3213"/>
    </w:tblGrid>
    <w:tr w:rsidR="00080B48" w:rsidRPr="001A2A94" w14:paraId="18EFF770" w14:textId="77777777" w:rsidTr="00B91BAD">
      <w:tc>
        <w:tcPr>
          <w:tcW w:w="3212" w:type="dxa"/>
        </w:tcPr>
        <w:p w14:paraId="3313CBCA" w14:textId="77777777" w:rsidR="00080B48" w:rsidRPr="00A60C5B" w:rsidRDefault="00080B48" w:rsidP="00080B48">
          <w:pPr>
            <w:pStyle w:val="Footer"/>
          </w:pPr>
        </w:p>
      </w:tc>
      <w:tc>
        <w:tcPr>
          <w:tcW w:w="3213" w:type="dxa"/>
        </w:tcPr>
        <w:p w14:paraId="197DD156" w14:textId="77777777" w:rsidR="00080B48" w:rsidRPr="00A60C5B" w:rsidRDefault="00080B48" w:rsidP="00080B48">
          <w:pPr>
            <w:pStyle w:val="Footer"/>
            <w:jc w:val="center"/>
          </w:pPr>
        </w:p>
      </w:tc>
      <w:tc>
        <w:tcPr>
          <w:tcW w:w="3213" w:type="dxa"/>
        </w:tcPr>
        <w:p w14:paraId="0AD498A0" w14:textId="77777777" w:rsidR="00080B48" w:rsidRPr="001A2A94" w:rsidRDefault="00080B48" w:rsidP="0009236A">
          <w:pPr>
            <w:pStyle w:val="Footer"/>
            <w:tabs>
              <w:tab w:val="clear" w:pos="4680"/>
              <w:tab w:val="clear" w:pos="9360"/>
              <w:tab w:val="left" w:pos="720"/>
              <w:tab w:val="left" w:pos="1440"/>
            </w:tabs>
            <w:rPr>
              <w:b/>
            </w:rPr>
          </w:pPr>
        </w:p>
      </w:tc>
    </w:tr>
  </w:tbl>
  <w:p w14:paraId="48F437D6" w14:textId="77777777" w:rsidR="00080B48" w:rsidRPr="00FF6CE0" w:rsidRDefault="00080B48" w:rsidP="00080B48">
    <w:pPr>
      <w:pStyle w:val="NoSpacing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4A78A" w14:textId="77777777" w:rsidR="005A53DB" w:rsidRDefault="005A53DB" w:rsidP="00774177">
      <w:pPr>
        <w:spacing w:before="0" w:after="0" w:line="240" w:lineRule="auto"/>
      </w:pPr>
      <w:r>
        <w:separator/>
      </w:r>
    </w:p>
  </w:footnote>
  <w:footnote w:type="continuationSeparator" w:id="0">
    <w:p w14:paraId="65F38728" w14:textId="77777777" w:rsidR="005A53DB" w:rsidRDefault="005A53DB" w:rsidP="007741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84497" w14:textId="69CBAB9F" w:rsidR="00204D6E" w:rsidRPr="004C23BF" w:rsidRDefault="008478B4" w:rsidP="00DC5335">
    <w:pPr>
      <w:pStyle w:val="Header"/>
      <w:tabs>
        <w:tab w:val="clear" w:pos="4680"/>
        <w:tab w:val="clear" w:pos="9360"/>
        <w:tab w:val="left" w:pos="566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4583ED32" wp14:editId="5547C8E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2855" cy="10749280"/>
          <wp:effectExtent l="0" t="0" r="0" b="0"/>
          <wp:wrapNone/>
          <wp:docPr id="8" name="Picture 8" descr="HealthSha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074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6A74"/>
    <w:multiLevelType w:val="multilevel"/>
    <w:tmpl w:val="A554F3B0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8D3D02"/>
    <w:multiLevelType w:val="hybridMultilevel"/>
    <w:tmpl w:val="89866934"/>
    <w:lvl w:ilvl="0" w:tplc="D3E216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40706"/>
    <w:multiLevelType w:val="multilevel"/>
    <w:tmpl w:val="39FC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42B8C"/>
    <w:multiLevelType w:val="hybridMultilevel"/>
    <w:tmpl w:val="C1D8FF46"/>
    <w:lvl w:ilvl="0" w:tplc="BC385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E1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6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86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E0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6D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88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D4554A"/>
    <w:multiLevelType w:val="multilevel"/>
    <w:tmpl w:val="1F569BEC"/>
    <w:lvl w:ilvl="0">
      <w:start w:val="1"/>
      <w:numFmt w:val="decimal"/>
      <w:pStyle w:val="H1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2n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3n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4n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5n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2D48D6"/>
    <w:multiLevelType w:val="multilevel"/>
    <w:tmpl w:val="22A0C290"/>
    <w:lvl w:ilvl="0">
      <w:start w:val="1"/>
      <w:numFmt w:val="decimal"/>
      <w:pStyle w:val="TableTitle"/>
      <w:lvlText w:val="Table %1: 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7D4812"/>
    <w:multiLevelType w:val="multilevel"/>
    <w:tmpl w:val="24CC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5306D"/>
    <w:multiLevelType w:val="multilevel"/>
    <w:tmpl w:val="30B26C86"/>
    <w:lvl w:ilvl="0">
      <w:start w:val="1"/>
      <w:numFmt w:val="decimal"/>
      <w:pStyle w:val="FigureTitle"/>
      <w:lvlText w:val="Figure %1: 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E202D06"/>
    <w:multiLevelType w:val="hybridMultilevel"/>
    <w:tmpl w:val="EC260926"/>
    <w:lvl w:ilvl="0" w:tplc="4520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8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CA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A9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85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46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86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6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9F51C2"/>
    <w:multiLevelType w:val="hybridMultilevel"/>
    <w:tmpl w:val="8278C970"/>
    <w:lvl w:ilvl="0" w:tplc="76341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E5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2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27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C2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80F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6B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C0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8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260DED"/>
    <w:multiLevelType w:val="hybridMultilevel"/>
    <w:tmpl w:val="E5629734"/>
    <w:lvl w:ilvl="0" w:tplc="12629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6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27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23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27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05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0E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69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0D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9E52CC"/>
    <w:multiLevelType w:val="hybridMultilevel"/>
    <w:tmpl w:val="3BAC96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7B4EE9"/>
    <w:multiLevelType w:val="hybridMultilevel"/>
    <w:tmpl w:val="19EE29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CD338A"/>
    <w:multiLevelType w:val="hybridMultilevel"/>
    <w:tmpl w:val="0096E8AC"/>
    <w:lvl w:ilvl="0" w:tplc="D3E21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20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C8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0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80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6C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46E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40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4D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E427CE"/>
    <w:multiLevelType w:val="hybridMultilevel"/>
    <w:tmpl w:val="7AA0DA0A"/>
    <w:lvl w:ilvl="0" w:tplc="46C20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0A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07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85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8EC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42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02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43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E7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E94A80"/>
    <w:multiLevelType w:val="multilevel"/>
    <w:tmpl w:val="680E7FA0"/>
    <w:lvl w:ilvl="0">
      <w:start w:val="1"/>
      <w:numFmt w:val="decimal"/>
      <w:pStyle w:val="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Lis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Lis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715B8C"/>
    <w:multiLevelType w:val="hybridMultilevel"/>
    <w:tmpl w:val="864C927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ED1D12"/>
    <w:multiLevelType w:val="multilevel"/>
    <w:tmpl w:val="A7B6A51E"/>
    <w:lvl w:ilvl="0">
      <w:start w:val="1"/>
      <w:numFmt w:val="bullet"/>
      <w:pStyle w:val="TableBlt1"/>
      <w:lvlText w:val=""/>
      <w:lvlJc w:val="left"/>
      <w:pPr>
        <w:ind w:left="170" w:hanging="17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TableBlt2"/>
      <w:lvlText w:val=""/>
      <w:lvlJc w:val="left"/>
      <w:pPr>
        <w:ind w:left="340" w:hanging="17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B49DD"/>
    <w:multiLevelType w:val="hybridMultilevel"/>
    <w:tmpl w:val="D34A7C32"/>
    <w:lvl w:ilvl="0" w:tplc="EB801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84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8A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07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45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2A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2A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EE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9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0894301">
    <w:abstractNumId w:val="0"/>
  </w:num>
  <w:num w:numId="2" w16cid:durableId="469057946">
    <w:abstractNumId w:val="7"/>
  </w:num>
  <w:num w:numId="3" w16cid:durableId="695231764">
    <w:abstractNumId w:val="4"/>
  </w:num>
  <w:num w:numId="4" w16cid:durableId="1330253947">
    <w:abstractNumId w:val="15"/>
  </w:num>
  <w:num w:numId="5" w16cid:durableId="423262301">
    <w:abstractNumId w:val="17"/>
  </w:num>
  <w:num w:numId="6" w16cid:durableId="904221537">
    <w:abstractNumId w:val="5"/>
  </w:num>
  <w:num w:numId="7" w16cid:durableId="837035736">
    <w:abstractNumId w:val="0"/>
  </w:num>
  <w:num w:numId="8" w16cid:durableId="1613591282">
    <w:abstractNumId w:val="0"/>
  </w:num>
  <w:num w:numId="9" w16cid:durableId="614680420">
    <w:abstractNumId w:val="0"/>
  </w:num>
  <w:num w:numId="10" w16cid:durableId="425738413">
    <w:abstractNumId w:val="7"/>
  </w:num>
  <w:num w:numId="11" w16cid:durableId="1782604345">
    <w:abstractNumId w:val="4"/>
  </w:num>
  <w:num w:numId="12" w16cid:durableId="1166437077">
    <w:abstractNumId w:val="4"/>
  </w:num>
  <w:num w:numId="13" w16cid:durableId="1526164663">
    <w:abstractNumId w:val="4"/>
  </w:num>
  <w:num w:numId="14" w16cid:durableId="141849870">
    <w:abstractNumId w:val="4"/>
  </w:num>
  <w:num w:numId="15" w16cid:durableId="1235581088">
    <w:abstractNumId w:val="4"/>
  </w:num>
  <w:num w:numId="16" w16cid:durableId="2046131748">
    <w:abstractNumId w:val="15"/>
  </w:num>
  <w:num w:numId="17" w16cid:durableId="435253317">
    <w:abstractNumId w:val="15"/>
  </w:num>
  <w:num w:numId="18" w16cid:durableId="1824588370">
    <w:abstractNumId w:val="15"/>
  </w:num>
  <w:num w:numId="19" w16cid:durableId="1054577">
    <w:abstractNumId w:val="17"/>
  </w:num>
  <w:num w:numId="20" w16cid:durableId="2002850658">
    <w:abstractNumId w:val="17"/>
  </w:num>
  <w:num w:numId="21" w16cid:durableId="1607158111">
    <w:abstractNumId w:val="5"/>
  </w:num>
  <w:num w:numId="22" w16cid:durableId="2011132785">
    <w:abstractNumId w:val="6"/>
  </w:num>
  <w:num w:numId="23" w16cid:durableId="1972589626">
    <w:abstractNumId w:val="2"/>
  </w:num>
  <w:num w:numId="24" w16cid:durableId="1174874879">
    <w:abstractNumId w:val="11"/>
  </w:num>
  <w:num w:numId="25" w16cid:durableId="1185948009">
    <w:abstractNumId w:val="16"/>
  </w:num>
  <w:num w:numId="26" w16cid:durableId="1173297721">
    <w:abstractNumId w:val="8"/>
  </w:num>
  <w:num w:numId="27" w16cid:durableId="41835090">
    <w:abstractNumId w:val="14"/>
  </w:num>
  <w:num w:numId="28" w16cid:durableId="659235706">
    <w:abstractNumId w:val="3"/>
  </w:num>
  <w:num w:numId="29" w16cid:durableId="564537238">
    <w:abstractNumId w:val="12"/>
  </w:num>
  <w:num w:numId="30" w16cid:durableId="1672681048">
    <w:abstractNumId w:val="13"/>
  </w:num>
  <w:num w:numId="31" w16cid:durableId="1728802844">
    <w:abstractNumId w:val="18"/>
  </w:num>
  <w:num w:numId="32" w16cid:durableId="670526047">
    <w:abstractNumId w:val="1"/>
  </w:num>
  <w:num w:numId="33" w16cid:durableId="484248670">
    <w:abstractNumId w:val="10"/>
  </w:num>
  <w:num w:numId="34" w16cid:durableId="12617941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6A"/>
    <w:rsid w:val="000512D0"/>
    <w:rsid w:val="00060B9C"/>
    <w:rsid w:val="00061D48"/>
    <w:rsid w:val="000747A6"/>
    <w:rsid w:val="00080B48"/>
    <w:rsid w:val="0009236A"/>
    <w:rsid w:val="00094584"/>
    <w:rsid w:val="00097774"/>
    <w:rsid w:val="000D0A14"/>
    <w:rsid w:val="00125249"/>
    <w:rsid w:val="001421C4"/>
    <w:rsid w:val="001A43C5"/>
    <w:rsid w:val="001F5C59"/>
    <w:rsid w:val="00204D6E"/>
    <w:rsid w:val="002524D6"/>
    <w:rsid w:val="00263209"/>
    <w:rsid w:val="002F7F01"/>
    <w:rsid w:val="00366C0C"/>
    <w:rsid w:val="003839AD"/>
    <w:rsid w:val="003924C3"/>
    <w:rsid w:val="003B012B"/>
    <w:rsid w:val="003B2E65"/>
    <w:rsid w:val="003C73A3"/>
    <w:rsid w:val="00406B03"/>
    <w:rsid w:val="00412AEE"/>
    <w:rsid w:val="0042617D"/>
    <w:rsid w:val="00477332"/>
    <w:rsid w:val="00493867"/>
    <w:rsid w:val="004C0CCB"/>
    <w:rsid w:val="004C23BF"/>
    <w:rsid w:val="004D6A1D"/>
    <w:rsid w:val="004E6004"/>
    <w:rsid w:val="0050765E"/>
    <w:rsid w:val="0054477C"/>
    <w:rsid w:val="00567C9D"/>
    <w:rsid w:val="00582971"/>
    <w:rsid w:val="00586D01"/>
    <w:rsid w:val="00595210"/>
    <w:rsid w:val="00597403"/>
    <w:rsid w:val="005A53DB"/>
    <w:rsid w:val="005C0E8D"/>
    <w:rsid w:val="00664001"/>
    <w:rsid w:val="0068084E"/>
    <w:rsid w:val="00697F01"/>
    <w:rsid w:val="006A20BF"/>
    <w:rsid w:val="006C1750"/>
    <w:rsid w:val="006C2A58"/>
    <w:rsid w:val="006D5A37"/>
    <w:rsid w:val="006E4A84"/>
    <w:rsid w:val="0070676B"/>
    <w:rsid w:val="007120DE"/>
    <w:rsid w:val="0072746C"/>
    <w:rsid w:val="00774177"/>
    <w:rsid w:val="00786611"/>
    <w:rsid w:val="007A0DB8"/>
    <w:rsid w:val="007C0066"/>
    <w:rsid w:val="007D36EE"/>
    <w:rsid w:val="007E2654"/>
    <w:rsid w:val="007F3169"/>
    <w:rsid w:val="0081107C"/>
    <w:rsid w:val="00841281"/>
    <w:rsid w:val="008478B4"/>
    <w:rsid w:val="0087137F"/>
    <w:rsid w:val="00873EEC"/>
    <w:rsid w:val="00873F0B"/>
    <w:rsid w:val="008811E3"/>
    <w:rsid w:val="008C4081"/>
    <w:rsid w:val="008C7110"/>
    <w:rsid w:val="008F1121"/>
    <w:rsid w:val="008F3795"/>
    <w:rsid w:val="00902C25"/>
    <w:rsid w:val="00914194"/>
    <w:rsid w:val="00990B72"/>
    <w:rsid w:val="009B75E7"/>
    <w:rsid w:val="00A03BB2"/>
    <w:rsid w:val="00A067BD"/>
    <w:rsid w:val="00A1226B"/>
    <w:rsid w:val="00A13FBD"/>
    <w:rsid w:val="00A23D28"/>
    <w:rsid w:val="00A3239E"/>
    <w:rsid w:val="00A75E60"/>
    <w:rsid w:val="00AA0470"/>
    <w:rsid w:val="00AA18FC"/>
    <w:rsid w:val="00AC0ADB"/>
    <w:rsid w:val="00AE0580"/>
    <w:rsid w:val="00B03B33"/>
    <w:rsid w:val="00B21B86"/>
    <w:rsid w:val="00B4280F"/>
    <w:rsid w:val="00B444C9"/>
    <w:rsid w:val="00B67C72"/>
    <w:rsid w:val="00B72FE5"/>
    <w:rsid w:val="00BF2D94"/>
    <w:rsid w:val="00C9222A"/>
    <w:rsid w:val="00CF48DF"/>
    <w:rsid w:val="00CF70CA"/>
    <w:rsid w:val="00D05E3A"/>
    <w:rsid w:val="00D26FF5"/>
    <w:rsid w:val="00D64D01"/>
    <w:rsid w:val="00DB0ACF"/>
    <w:rsid w:val="00DC5335"/>
    <w:rsid w:val="00E6099C"/>
    <w:rsid w:val="00E64398"/>
    <w:rsid w:val="00E66221"/>
    <w:rsid w:val="00EB0599"/>
    <w:rsid w:val="00EC785D"/>
    <w:rsid w:val="00ED1F15"/>
    <w:rsid w:val="00F46F73"/>
    <w:rsid w:val="00FA1CB6"/>
    <w:rsid w:val="00FA7733"/>
    <w:rsid w:val="00FB09B8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ED050"/>
  <w15:chartTrackingRefBased/>
  <w15:docId w15:val="{45BA518D-97D6-4411-9AD0-4DCF5089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C9"/>
    <w:pPr>
      <w:spacing w:line="260" w:lineRule="atLeast"/>
    </w:pPr>
  </w:style>
  <w:style w:type="paragraph" w:styleId="Heading1">
    <w:name w:val="heading 1"/>
    <w:basedOn w:val="Normal"/>
    <w:next w:val="Normal"/>
    <w:link w:val="Heading1Char"/>
    <w:uiPriority w:val="2"/>
    <w:qFormat/>
    <w:rsid w:val="00B444C9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color w:val="5D0F68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B444C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5D0F68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B444C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B444C9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"/>
    <w:qFormat/>
    <w:rsid w:val="00B444C9"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415968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B444C9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caps/>
      <w:color w:val="5D0F68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4C9"/>
    <w:rPr>
      <w:rFonts w:asciiTheme="majorHAnsi" w:eastAsiaTheme="majorEastAsia" w:hAnsiTheme="majorHAnsi" w:cstheme="majorBidi"/>
      <w:b/>
      <w:caps/>
      <w:color w:val="5D0F68" w:themeColor="text1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B444C9"/>
    <w:rPr>
      <w:rFonts w:asciiTheme="majorHAnsi" w:eastAsiaTheme="majorEastAsia" w:hAnsiTheme="majorHAnsi" w:cstheme="majorBidi"/>
      <w:b/>
      <w:color w:val="5D0F68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B444C9"/>
    <w:rPr>
      <w:rFonts w:asciiTheme="majorHAnsi" w:eastAsiaTheme="majorEastAsia" w:hAnsiTheme="majorHAnsi" w:cstheme="majorBidi"/>
      <w:b/>
      <w:color w:val="5D0F68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444C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B444C9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2"/>
    <w:rsid w:val="00B444C9"/>
    <w:rPr>
      <w:rFonts w:asciiTheme="majorHAnsi" w:eastAsiaTheme="majorEastAsia" w:hAnsiTheme="majorHAnsi" w:cstheme="majorBidi"/>
      <w:b/>
      <w:color w:val="415968" w:themeColor="accent1"/>
    </w:rPr>
  </w:style>
  <w:style w:type="paragraph" w:styleId="Subtitle">
    <w:name w:val="Subtitle"/>
    <w:basedOn w:val="Normal"/>
    <w:next w:val="Normal"/>
    <w:link w:val="SubtitleChar"/>
    <w:uiPriority w:val="11"/>
    <w:rsid w:val="00B444C9"/>
    <w:pPr>
      <w:numPr>
        <w:ilvl w:val="1"/>
      </w:numPr>
      <w:spacing w:before="360"/>
    </w:pPr>
    <w:rPr>
      <w:rFonts w:eastAsiaTheme="minorEastAsia"/>
      <w:color w:val="5D0F68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4C9"/>
    <w:rPr>
      <w:rFonts w:eastAsiaTheme="minorEastAsia"/>
      <w:color w:val="5D0F68" w:themeColor="text1"/>
      <w:sz w:val="28"/>
    </w:rPr>
  </w:style>
  <w:style w:type="paragraph" w:styleId="TOCHeading">
    <w:name w:val="TOC Heading"/>
    <w:basedOn w:val="Heading1"/>
    <w:next w:val="Normal"/>
    <w:uiPriority w:val="39"/>
    <w:unhideWhenUsed/>
    <w:rsid w:val="00B444C9"/>
    <w:pPr>
      <w:spacing w:line="380" w:lineRule="atLeast"/>
      <w:outlineLvl w:val="9"/>
    </w:pPr>
    <w:rPr>
      <w:caps/>
    </w:rPr>
  </w:style>
  <w:style w:type="table" w:styleId="TableGrid">
    <w:name w:val="Table Grid"/>
    <w:basedOn w:val="TableNormal"/>
    <w:uiPriority w:val="39"/>
    <w:rsid w:val="00B444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4C9"/>
    <w:pPr>
      <w:tabs>
        <w:tab w:val="center" w:pos="4680"/>
        <w:tab w:val="right" w:pos="9360"/>
      </w:tabs>
      <w:spacing w:before="0" w:after="480" w:line="240" w:lineRule="auto"/>
      <w:ind w:left="-540"/>
    </w:pPr>
    <w:rPr>
      <w:b/>
      <w:caps/>
      <w:color w:val="CACEC2" w:themeColor="accent2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B444C9"/>
    <w:rPr>
      <w:b/>
      <w:caps/>
      <w:color w:val="CACEC2" w:themeColor="accent2"/>
      <w:sz w:val="36"/>
    </w:rPr>
  </w:style>
  <w:style w:type="paragraph" w:styleId="Footer">
    <w:name w:val="footer"/>
    <w:basedOn w:val="Normal"/>
    <w:link w:val="FooterChar"/>
    <w:uiPriority w:val="99"/>
    <w:unhideWhenUsed/>
    <w:rsid w:val="00B444C9"/>
    <w:pPr>
      <w:tabs>
        <w:tab w:val="center" w:pos="4680"/>
        <w:tab w:val="right" w:pos="9360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444C9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B444C9"/>
    <w:rPr>
      <w:color w:val="808080"/>
    </w:rPr>
  </w:style>
  <w:style w:type="character" w:styleId="PageNumber">
    <w:name w:val="page number"/>
    <w:basedOn w:val="DefaultParagraphFont"/>
    <w:uiPriority w:val="99"/>
    <w:unhideWhenUsed/>
    <w:rsid w:val="00B444C9"/>
    <w:rPr>
      <w:color w:val="5D0F68" w:themeColor="text1"/>
    </w:rPr>
  </w:style>
  <w:style w:type="table" w:styleId="GridTable4-Accent2">
    <w:name w:val="Grid Table 4 Accent 2"/>
    <w:basedOn w:val="TableNormal"/>
    <w:uiPriority w:val="49"/>
    <w:rsid w:val="00B444C9"/>
    <w:pPr>
      <w:spacing w:after="0"/>
    </w:pPr>
    <w:tblPr>
      <w:tblStyleRowBandSize w:val="1"/>
      <w:tblStyleColBandSize w:val="1"/>
      <w:tblBorders>
        <w:top w:val="single" w:sz="4" w:space="0" w:color="DFE1DA" w:themeColor="accent2" w:themeTint="99"/>
        <w:left w:val="single" w:sz="4" w:space="0" w:color="DFE1DA" w:themeColor="accent2" w:themeTint="99"/>
        <w:bottom w:val="single" w:sz="4" w:space="0" w:color="DFE1DA" w:themeColor="accent2" w:themeTint="99"/>
        <w:right w:val="single" w:sz="4" w:space="0" w:color="DFE1DA" w:themeColor="accent2" w:themeTint="99"/>
        <w:insideH w:val="single" w:sz="4" w:space="0" w:color="DFE1DA" w:themeColor="accent2" w:themeTint="99"/>
        <w:insideV w:val="single" w:sz="4" w:space="0" w:color="DFE1D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EC2" w:themeColor="accent2"/>
          <w:left w:val="single" w:sz="4" w:space="0" w:color="CACEC2" w:themeColor="accent2"/>
          <w:bottom w:val="single" w:sz="4" w:space="0" w:color="CACEC2" w:themeColor="accent2"/>
          <w:right w:val="single" w:sz="4" w:space="0" w:color="CACEC2" w:themeColor="accent2"/>
          <w:insideH w:val="nil"/>
          <w:insideV w:val="nil"/>
        </w:tcBorders>
        <w:shd w:val="clear" w:color="auto" w:fill="CACEC2" w:themeFill="accent2"/>
      </w:tcPr>
    </w:tblStylePr>
    <w:tblStylePr w:type="lastRow">
      <w:rPr>
        <w:b/>
        <w:bCs/>
      </w:rPr>
      <w:tblPr/>
      <w:tcPr>
        <w:tcBorders>
          <w:top w:val="double" w:sz="4" w:space="0" w:color="CACE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2" w:themeFill="accent2" w:themeFillTint="33"/>
      </w:tcPr>
    </w:tblStylePr>
    <w:tblStylePr w:type="band1Horz">
      <w:tblPr/>
      <w:tcPr>
        <w:shd w:val="clear" w:color="auto" w:fill="F4F5F2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B444C9"/>
    <w:pPr>
      <w:spacing w:after="0"/>
    </w:pPr>
    <w:tblPr>
      <w:tblStyleRowBandSize w:val="1"/>
      <w:tblStyleColBandSize w:val="1"/>
      <w:tblBorders>
        <w:top w:val="single" w:sz="4" w:space="0" w:color="CACEC2" w:themeColor="accent2"/>
        <w:left w:val="single" w:sz="4" w:space="0" w:color="CACEC2" w:themeColor="accent2"/>
        <w:bottom w:val="single" w:sz="4" w:space="0" w:color="CACEC2" w:themeColor="accent2"/>
        <w:right w:val="single" w:sz="4" w:space="0" w:color="CACEC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EC2" w:themeFill="accent2"/>
      </w:tcPr>
    </w:tblStylePr>
    <w:tblStylePr w:type="lastRow">
      <w:rPr>
        <w:b/>
        <w:bCs/>
      </w:rPr>
      <w:tblPr/>
      <w:tcPr>
        <w:tcBorders>
          <w:top w:val="double" w:sz="4" w:space="0" w:color="CACEC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CEC2" w:themeColor="accent2"/>
          <w:right w:val="single" w:sz="4" w:space="0" w:color="CACEC2" w:themeColor="accent2"/>
        </w:tcBorders>
      </w:tcPr>
    </w:tblStylePr>
    <w:tblStylePr w:type="band1Horz">
      <w:tblPr/>
      <w:tcPr>
        <w:tcBorders>
          <w:top w:val="single" w:sz="4" w:space="0" w:color="CACEC2" w:themeColor="accent2"/>
          <w:bottom w:val="single" w:sz="4" w:space="0" w:color="CACEC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CEC2" w:themeColor="accent2"/>
          <w:left w:val="nil"/>
        </w:tcBorders>
      </w:tcPr>
    </w:tblStylePr>
    <w:tblStylePr w:type="swCell">
      <w:tblPr/>
      <w:tcPr>
        <w:tcBorders>
          <w:top w:val="double" w:sz="4" w:space="0" w:color="CACEC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444C9"/>
    <w:tblPr>
      <w:tblStyleRowBandSize w:val="1"/>
      <w:tblStyleColBandSize w:val="1"/>
      <w:tblBorders>
        <w:top w:val="single" w:sz="4" w:space="0" w:color="4D917B" w:themeColor="accent3"/>
        <w:left w:val="single" w:sz="4" w:space="0" w:color="4D917B" w:themeColor="accent3"/>
        <w:bottom w:val="single" w:sz="4" w:space="0" w:color="4D917B" w:themeColor="accent3"/>
        <w:right w:val="single" w:sz="4" w:space="0" w:color="4D917B" w:themeColor="accent3"/>
        <w:insideH w:val="single" w:sz="4" w:space="0" w:color="4D917B" w:themeColor="accent3"/>
        <w:insideV w:val="single" w:sz="4" w:space="0" w:color="4D917B" w:themeColor="accent3"/>
      </w:tblBorders>
    </w:tbl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4D917B" w:themeFill="accent3"/>
      </w:tcPr>
    </w:tblStylePr>
    <w:tblStylePr w:type="lastRow">
      <w:rPr>
        <w:b/>
        <w:bCs/>
      </w:rPr>
      <w:tblPr/>
      <w:tcPr>
        <w:tcBorders>
          <w:top w:val="double" w:sz="4" w:space="0" w:color="4D917B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D917B" w:themeColor="accent3"/>
          <w:left w:val="single" w:sz="4" w:space="0" w:color="4D917B" w:themeColor="accent3"/>
          <w:bottom w:val="single" w:sz="4" w:space="0" w:color="4D917B" w:themeColor="accent3"/>
          <w:right w:val="single" w:sz="4" w:space="0" w:color="4D917B" w:themeColor="accent3"/>
          <w:insideH w:val="single" w:sz="4" w:space="0" w:color="4D917B" w:themeColor="accent3"/>
          <w:insideV w:val="single" w:sz="4" w:space="0" w:color="4D917B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917B" w:themeColor="accent3"/>
          <w:right w:val="single" w:sz="4" w:space="0" w:color="4D917B" w:themeColor="accent3"/>
        </w:tcBorders>
      </w:tcPr>
    </w:tblStylePr>
    <w:tblStylePr w:type="band1Horz">
      <w:tblPr/>
      <w:tcPr>
        <w:tcBorders>
          <w:top w:val="single" w:sz="4" w:space="0" w:color="4D917B" w:themeColor="accent3"/>
          <w:bottom w:val="single" w:sz="4" w:space="0" w:color="4D917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917B" w:themeColor="accent3"/>
          <w:left w:val="nil"/>
        </w:tcBorders>
      </w:tcPr>
    </w:tblStylePr>
    <w:tblStylePr w:type="swCell">
      <w:tblPr/>
      <w:tcPr>
        <w:tcBorders>
          <w:top w:val="double" w:sz="4" w:space="0" w:color="4D917B" w:themeColor="accent3"/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B444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B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917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917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917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917B" w:themeFill="accent3"/>
      </w:tcPr>
    </w:tblStylePr>
    <w:tblStylePr w:type="band1Vert">
      <w:tblPr/>
      <w:tcPr>
        <w:shd w:val="clear" w:color="auto" w:fill="B3D7CB" w:themeFill="accent3" w:themeFillTint="66"/>
      </w:tcPr>
    </w:tblStylePr>
    <w:tblStylePr w:type="band1Horz">
      <w:tblPr/>
      <w:tcPr>
        <w:shd w:val="clear" w:color="auto" w:fill="B3D7CB" w:themeFill="accent3" w:themeFillTint="66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444C9"/>
    <w:pPr>
      <w:tabs>
        <w:tab w:val="right" w:leader="dot" w:pos="9628"/>
      </w:tabs>
      <w:spacing w:before="160" w:after="80"/>
      <w:ind w:right="284"/>
    </w:pPr>
    <w:rPr>
      <w:b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B444C9"/>
    <w:pPr>
      <w:tabs>
        <w:tab w:val="right" w:leader="dot" w:pos="9628"/>
      </w:tabs>
      <w:spacing w:before="80" w:after="80"/>
      <w:ind w:right="284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B444C9"/>
    <w:rPr>
      <w:color w:val="5D0F68" w:themeColor="hyperlink"/>
      <w:u w:val="single"/>
    </w:rPr>
  </w:style>
  <w:style w:type="paragraph" w:styleId="ListParagraph">
    <w:name w:val="List Paragraph"/>
    <w:basedOn w:val="Normal"/>
    <w:uiPriority w:val="34"/>
    <w:rsid w:val="00B444C9"/>
    <w:pPr>
      <w:ind w:left="720"/>
      <w:contextualSpacing/>
    </w:pPr>
  </w:style>
  <w:style w:type="paragraph" w:customStyle="1" w:styleId="Bullet1">
    <w:name w:val="Bullet1"/>
    <w:uiPriority w:val="1"/>
    <w:qFormat/>
    <w:rsid w:val="00B444C9"/>
    <w:pPr>
      <w:numPr>
        <w:numId w:val="9"/>
      </w:numPr>
      <w:spacing w:line="260" w:lineRule="atLeast"/>
    </w:pPr>
  </w:style>
  <w:style w:type="paragraph" w:customStyle="1" w:styleId="Bullet2">
    <w:name w:val="Bullet2"/>
    <w:basedOn w:val="Bullet1"/>
    <w:uiPriority w:val="1"/>
    <w:qFormat/>
    <w:rsid w:val="00B444C9"/>
    <w:pPr>
      <w:numPr>
        <w:ilvl w:val="1"/>
      </w:numPr>
    </w:pPr>
  </w:style>
  <w:style w:type="paragraph" w:customStyle="1" w:styleId="Bullet3">
    <w:name w:val="Bullet3"/>
    <w:basedOn w:val="Bullet1"/>
    <w:uiPriority w:val="1"/>
    <w:qFormat/>
    <w:rsid w:val="00B444C9"/>
    <w:pPr>
      <w:numPr>
        <w:ilvl w:val="2"/>
      </w:numPr>
    </w:pPr>
  </w:style>
  <w:style w:type="paragraph" w:customStyle="1" w:styleId="NumList1">
    <w:name w:val="NumList1"/>
    <w:basedOn w:val="Normal"/>
    <w:uiPriority w:val="3"/>
    <w:qFormat/>
    <w:rsid w:val="00B444C9"/>
    <w:pPr>
      <w:numPr>
        <w:numId w:val="18"/>
      </w:numPr>
    </w:pPr>
  </w:style>
  <w:style w:type="paragraph" w:customStyle="1" w:styleId="NumList2">
    <w:name w:val="NumList2"/>
    <w:basedOn w:val="NumList1"/>
    <w:uiPriority w:val="3"/>
    <w:qFormat/>
    <w:rsid w:val="00B444C9"/>
    <w:pPr>
      <w:numPr>
        <w:ilvl w:val="1"/>
      </w:numPr>
    </w:pPr>
  </w:style>
  <w:style w:type="paragraph" w:customStyle="1" w:styleId="NumList3">
    <w:name w:val="NumList3"/>
    <w:basedOn w:val="NumList1"/>
    <w:uiPriority w:val="3"/>
    <w:qFormat/>
    <w:rsid w:val="00B444C9"/>
    <w:pPr>
      <w:numPr>
        <w:ilvl w:val="2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B444C9"/>
    <w:pPr>
      <w:tabs>
        <w:tab w:val="right" w:leader="dot" w:pos="9628"/>
      </w:tabs>
      <w:spacing w:before="160" w:after="80"/>
      <w:ind w:left="567" w:right="284" w:hanging="567"/>
    </w:pPr>
    <w:rPr>
      <w:b/>
      <w:noProof/>
      <w:sz w:val="18"/>
    </w:rPr>
  </w:style>
  <w:style w:type="paragraph" w:styleId="Caption">
    <w:name w:val="caption"/>
    <w:basedOn w:val="Normal"/>
    <w:next w:val="Normal"/>
    <w:link w:val="CaptionChar"/>
    <w:uiPriority w:val="5"/>
    <w:qFormat/>
    <w:rsid w:val="00B444C9"/>
    <w:pPr>
      <w:keepNext/>
      <w:spacing w:before="360" w:line="240" w:lineRule="auto"/>
    </w:pPr>
    <w:rPr>
      <w:b/>
      <w:iCs/>
      <w:szCs w:val="18"/>
    </w:rPr>
  </w:style>
  <w:style w:type="paragraph" w:customStyle="1" w:styleId="TableFootnote">
    <w:name w:val="TableFootnote"/>
    <w:basedOn w:val="Normal"/>
    <w:uiPriority w:val="4"/>
    <w:qFormat/>
    <w:rsid w:val="00B444C9"/>
    <w:pPr>
      <w:spacing w:before="80" w:after="360" w:line="240" w:lineRule="auto"/>
      <w:contextualSpacing/>
    </w:pPr>
    <w:rPr>
      <w:sz w:val="18"/>
    </w:rPr>
  </w:style>
  <w:style w:type="paragraph" w:customStyle="1" w:styleId="H1n">
    <w:name w:val="H1n"/>
    <w:basedOn w:val="Heading1"/>
    <w:next w:val="Normal"/>
    <w:uiPriority w:val="3"/>
    <w:qFormat/>
    <w:rsid w:val="00B444C9"/>
    <w:pPr>
      <w:numPr>
        <w:numId w:val="15"/>
      </w:numPr>
    </w:pPr>
  </w:style>
  <w:style w:type="paragraph" w:customStyle="1" w:styleId="H2n">
    <w:name w:val="H2n"/>
    <w:basedOn w:val="Heading2"/>
    <w:next w:val="Normal"/>
    <w:uiPriority w:val="3"/>
    <w:qFormat/>
    <w:rsid w:val="00B444C9"/>
    <w:pPr>
      <w:numPr>
        <w:ilvl w:val="1"/>
        <w:numId w:val="15"/>
      </w:numPr>
    </w:pPr>
  </w:style>
  <w:style w:type="paragraph" w:customStyle="1" w:styleId="H3n">
    <w:name w:val="H3n"/>
    <w:basedOn w:val="Heading3"/>
    <w:next w:val="Normal"/>
    <w:uiPriority w:val="3"/>
    <w:qFormat/>
    <w:rsid w:val="00B444C9"/>
    <w:pPr>
      <w:numPr>
        <w:ilvl w:val="2"/>
        <w:numId w:val="15"/>
      </w:numPr>
    </w:pPr>
  </w:style>
  <w:style w:type="paragraph" w:customStyle="1" w:styleId="H4n">
    <w:name w:val="H4n"/>
    <w:basedOn w:val="Heading4"/>
    <w:next w:val="Normal"/>
    <w:uiPriority w:val="3"/>
    <w:qFormat/>
    <w:rsid w:val="00B444C9"/>
    <w:pPr>
      <w:numPr>
        <w:ilvl w:val="3"/>
        <w:numId w:val="15"/>
      </w:numPr>
      <w:tabs>
        <w:tab w:val="left" w:pos="1134"/>
      </w:tabs>
    </w:pPr>
  </w:style>
  <w:style w:type="paragraph" w:customStyle="1" w:styleId="H5n">
    <w:name w:val="H5n"/>
    <w:basedOn w:val="Heading5"/>
    <w:next w:val="Normal"/>
    <w:uiPriority w:val="3"/>
    <w:qFormat/>
    <w:rsid w:val="00B444C9"/>
    <w:pPr>
      <w:numPr>
        <w:ilvl w:val="4"/>
        <w:numId w:val="15"/>
      </w:numPr>
    </w:pPr>
    <w:rPr>
      <w:color w:val="auto"/>
    </w:rPr>
  </w:style>
  <w:style w:type="table" w:styleId="PlainTable4">
    <w:name w:val="Plain Table 4"/>
    <w:basedOn w:val="TableNormal"/>
    <w:uiPriority w:val="44"/>
    <w:rsid w:val="00B444C9"/>
    <w:pPr>
      <w:spacing w:after="0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444C9"/>
    <w:pPr>
      <w:tabs>
        <w:tab w:val="right" w:leader="dot" w:pos="9628"/>
      </w:tabs>
      <w:spacing w:before="80" w:after="80"/>
      <w:ind w:left="567" w:right="284" w:hanging="567"/>
    </w:pPr>
    <w:rPr>
      <w:noProof/>
      <w:sz w:val="18"/>
    </w:rPr>
  </w:style>
  <w:style w:type="paragraph" w:styleId="ListContinue">
    <w:name w:val="List Continue"/>
    <w:basedOn w:val="Normal"/>
    <w:uiPriority w:val="99"/>
    <w:qFormat/>
    <w:rsid w:val="00B444C9"/>
    <w:pPr>
      <w:ind w:left="284"/>
    </w:pPr>
  </w:style>
  <w:style w:type="paragraph" w:styleId="ListContinue2">
    <w:name w:val="List Continue 2"/>
    <w:basedOn w:val="Normal"/>
    <w:uiPriority w:val="99"/>
    <w:qFormat/>
    <w:rsid w:val="00B444C9"/>
    <w:pPr>
      <w:ind w:left="567"/>
    </w:pPr>
  </w:style>
  <w:style w:type="paragraph" w:styleId="ListContinue3">
    <w:name w:val="List Continue 3"/>
    <w:basedOn w:val="Normal"/>
    <w:uiPriority w:val="99"/>
    <w:qFormat/>
    <w:rsid w:val="00B444C9"/>
    <w:pPr>
      <w:ind w:left="851"/>
    </w:pPr>
  </w:style>
  <w:style w:type="paragraph" w:styleId="ListContinue4">
    <w:name w:val="List Continue 4"/>
    <w:basedOn w:val="Normal"/>
    <w:uiPriority w:val="99"/>
    <w:rsid w:val="00B444C9"/>
    <w:pPr>
      <w:ind w:left="1134"/>
    </w:pPr>
  </w:style>
  <w:style w:type="paragraph" w:styleId="ListContinue5">
    <w:name w:val="List Continue 5"/>
    <w:basedOn w:val="Normal"/>
    <w:uiPriority w:val="99"/>
    <w:unhideWhenUsed/>
    <w:rsid w:val="00B444C9"/>
    <w:pPr>
      <w:ind w:left="1418"/>
    </w:pPr>
  </w:style>
  <w:style w:type="paragraph" w:styleId="NoSpacing">
    <w:name w:val="No Spacing"/>
    <w:uiPriority w:val="3"/>
    <w:qFormat/>
    <w:rsid w:val="00B444C9"/>
    <w:pPr>
      <w:spacing w:before="0" w:after="0"/>
    </w:pPr>
  </w:style>
  <w:style w:type="character" w:customStyle="1" w:styleId="CaptionChar">
    <w:name w:val="Caption Char"/>
    <w:basedOn w:val="DefaultParagraphFont"/>
    <w:link w:val="Caption"/>
    <w:uiPriority w:val="5"/>
    <w:rsid w:val="00B444C9"/>
    <w:rPr>
      <w:b/>
      <w:iCs/>
      <w:szCs w:val="18"/>
    </w:rPr>
  </w:style>
  <w:style w:type="paragraph" w:customStyle="1" w:styleId="FigureTitle">
    <w:name w:val="FigureTitle"/>
    <w:basedOn w:val="Caption"/>
    <w:next w:val="Normal"/>
    <w:link w:val="FigureTitleChar"/>
    <w:uiPriority w:val="1"/>
    <w:qFormat/>
    <w:rsid w:val="00B444C9"/>
    <w:pPr>
      <w:numPr>
        <w:numId w:val="10"/>
      </w:numPr>
    </w:pPr>
  </w:style>
  <w:style w:type="character" w:customStyle="1" w:styleId="FigureTitleChar">
    <w:name w:val="FigureTitle Char"/>
    <w:basedOn w:val="CaptionChar"/>
    <w:link w:val="FigureTitle"/>
    <w:uiPriority w:val="1"/>
    <w:rsid w:val="00B444C9"/>
    <w:rPr>
      <w:b/>
      <w:iCs/>
      <w:szCs w:val="18"/>
    </w:rPr>
  </w:style>
  <w:style w:type="paragraph" w:customStyle="1" w:styleId="TableTitle">
    <w:name w:val="TableTitle"/>
    <w:basedOn w:val="Caption"/>
    <w:next w:val="Normal"/>
    <w:link w:val="TableTitleChar"/>
    <w:uiPriority w:val="1"/>
    <w:qFormat/>
    <w:rsid w:val="00B444C9"/>
    <w:pPr>
      <w:numPr>
        <w:numId w:val="21"/>
      </w:numPr>
    </w:pPr>
  </w:style>
  <w:style w:type="character" w:customStyle="1" w:styleId="TableTitleChar">
    <w:name w:val="TableTitle Char"/>
    <w:basedOn w:val="CaptionChar"/>
    <w:link w:val="TableTitle"/>
    <w:uiPriority w:val="1"/>
    <w:rsid w:val="00B444C9"/>
    <w:rPr>
      <w:b/>
      <w:iCs/>
      <w:szCs w:val="18"/>
    </w:rPr>
  </w:style>
  <w:style w:type="table" w:styleId="ListTable3-Accent5">
    <w:name w:val="List Table 3 Accent 5"/>
    <w:basedOn w:val="TableNormal"/>
    <w:uiPriority w:val="48"/>
    <w:rsid w:val="00B444C9"/>
    <w:pPr>
      <w:spacing w:after="0"/>
    </w:pPr>
    <w:tblPr>
      <w:tblStyleRowBandSize w:val="1"/>
      <w:tblStyleColBandSize w:val="1"/>
      <w:tblBorders>
        <w:top w:val="single" w:sz="4" w:space="0" w:color="26BCD7" w:themeColor="accent5"/>
        <w:left w:val="single" w:sz="4" w:space="0" w:color="26BCD7" w:themeColor="accent5"/>
        <w:bottom w:val="single" w:sz="4" w:space="0" w:color="26BCD7" w:themeColor="accent5"/>
        <w:right w:val="single" w:sz="4" w:space="0" w:color="26BCD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BCD7" w:themeFill="accent5"/>
      </w:tcPr>
    </w:tblStylePr>
    <w:tblStylePr w:type="lastRow">
      <w:rPr>
        <w:b/>
        <w:bCs/>
      </w:rPr>
      <w:tblPr/>
      <w:tcPr>
        <w:tcBorders>
          <w:top w:val="double" w:sz="4" w:space="0" w:color="26BCD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BCD7" w:themeColor="accent5"/>
          <w:right w:val="single" w:sz="4" w:space="0" w:color="26BCD7" w:themeColor="accent5"/>
        </w:tcBorders>
      </w:tcPr>
    </w:tblStylePr>
    <w:tblStylePr w:type="band1Horz">
      <w:tblPr/>
      <w:tcPr>
        <w:tcBorders>
          <w:top w:val="single" w:sz="4" w:space="0" w:color="26BCD7" w:themeColor="accent5"/>
          <w:bottom w:val="single" w:sz="4" w:space="0" w:color="26BCD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BCD7" w:themeColor="accent5"/>
          <w:left w:val="nil"/>
        </w:tcBorders>
      </w:tcPr>
    </w:tblStylePr>
    <w:tblStylePr w:type="swCell">
      <w:tblPr/>
      <w:tcPr>
        <w:tcBorders>
          <w:top w:val="double" w:sz="4" w:space="0" w:color="26BCD7" w:themeColor="accent5"/>
          <w:right w:val="nil"/>
        </w:tcBorders>
      </w:tcPr>
    </w:tblStylePr>
  </w:style>
  <w:style w:type="paragraph" w:customStyle="1" w:styleId="TableText">
    <w:name w:val="TableText"/>
    <w:basedOn w:val="Normal"/>
    <w:uiPriority w:val="3"/>
    <w:qFormat/>
    <w:rsid w:val="00B444C9"/>
    <w:pPr>
      <w:spacing w:before="80" w:after="80" w:line="220" w:lineRule="atLeast"/>
    </w:pPr>
    <w:rPr>
      <w:sz w:val="18"/>
    </w:rPr>
  </w:style>
  <w:style w:type="paragraph" w:customStyle="1" w:styleId="TableBlt1">
    <w:name w:val="TableBlt1"/>
    <w:basedOn w:val="TableText"/>
    <w:uiPriority w:val="4"/>
    <w:qFormat/>
    <w:rsid w:val="00B444C9"/>
    <w:pPr>
      <w:numPr>
        <w:numId w:val="20"/>
      </w:numPr>
    </w:pPr>
  </w:style>
  <w:style w:type="paragraph" w:customStyle="1" w:styleId="TableBlt2">
    <w:name w:val="TableBlt2"/>
    <w:basedOn w:val="TableBlt1"/>
    <w:uiPriority w:val="4"/>
    <w:qFormat/>
    <w:rsid w:val="00B444C9"/>
    <w:pPr>
      <w:numPr>
        <w:ilvl w:val="1"/>
      </w:numPr>
    </w:pPr>
  </w:style>
  <w:style w:type="paragraph" w:customStyle="1" w:styleId="StyleHeading310pt">
    <w:name w:val="Style Heading 3 + 10 pt"/>
    <w:basedOn w:val="Heading3"/>
    <w:rsid w:val="00697F01"/>
    <w:rPr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2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3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9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-hd-01\common\shared\HPV%20Templates\External%20Communications%20templates\HPV%20templates\HPV%20FactSheet.dotx" TargetMode="External"/></Relationships>
</file>

<file path=word/theme/theme1.xml><?xml version="1.0" encoding="utf-8"?>
<a:theme xmlns:a="http://schemas.openxmlformats.org/drawingml/2006/main" name="Office Theme">
  <a:themeElements>
    <a:clrScheme name="HPV Original">
      <a:dk1>
        <a:srgbClr val="5D0F68"/>
      </a:dk1>
      <a:lt1>
        <a:srgbClr val="FFFFFF"/>
      </a:lt1>
      <a:dk2>
        <a:srgbClr val="77AE99"/>
      </a:dk2>
      <a:lt2>
        <a:srgbClr val="FFFFFF"/>
      </a:lt2>
      <a:accent1>
        <a:srgbClr val="415968"/>
      </a:accent1>
      <a:accent2>
        <a:srgbClr val="CACEC2"/>
      </a:accent2>
      <a:accent3>
        <a:srgbClr val="4D917B"/>
      </a:accent3>
      <a:accent4>
        <a:srgbClr val="F5E882"/>
      </a:accent4>
      <a:accent5>
        <a:srgbClr val="26BCD7"/>
      </a:accent5>
      <a:accent6>
        <a:srgbClr val="FBAF5F"/>
      </a:accent6>
      <a:hlink>
        <a:srgbClr val="5D0F68"/>
      </a:hlink>
      <a:folHlink>
        <a:srgbClr val="7DA6D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c44bcc-6db4-418b-9a53-ab6b6d618e2a">HPVID-751004011-4</_dlc_DocId>
    <_dlc_DocIdUrl xmlns="3dc44bcc-6db4-418b-9a53-ab6b6d618e2a">
      <Url>https://pulse.hpv.org.au/_layouts/15/DocIdRedir.aspx?ID=HPVID-751004011-4</Url>
      <Description>HPVID-751004011-4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B4D130DFFE447A5567FE43FBC0BBC" ma:contentTypeVersion="0" ma:contentTypeDescription="Create a new document." ma:contentTypeScope="" ma:versionID="027469583a916372c57e81072791a583">
  <xsd:schema xmlns:xsd="http://www.w3.org/2001/XMLSchema" xmlns:xs="http://www.w3.org/2001/XMLSchema" xmlns:p="http://schemas.microsoft.com/office/2006/metadata/properties" xmlns:ns2="3dc44bcc-6db4-418b-9a53-ab6b6d618e2a" targetNamespace="http://schemas.microsoft.com/office/2006/metadata/properties" ma:root="true" ma:fieldsID="424d2c217911d225c77da0099f8f4f28" ns2:_="">
    <xsd:import namespace="3dc44bcc-6db4-418b-9a53-ab6b6d618e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4bcc-6db4-418b-9a53-ab6b6d618e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<basic_XML xmlns="http://AddIn Basic XML Script/Basic Nodes"><Date>2017-12-15</Date></basic_XM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C0F2-18FB-4667-AA11-00533909DE4D}">
  <ds:schemaRefs>
    <ds:schemaRef ds:uri="http://schemas.microsoft.com/office/2006/metadata/properties"/>
    <ds:schemaRef ds:uri="http://schemas.microsoft.com/office/infopath/2007/PartnerControls"/>
    <ds:schemaRef ds:uri="3dc44bcc-6db4-418b-9a53-ab6b6d618e2a"/>
  </ds:schemaRefs>
</ds:datastoreItem>
</file>

<file path=customXml/itemProps2.xml><?xml version="1.0" encoding="utf-8"?>
<ds:datastoreItem xmlns:ds="http://schemas.openxmlformats.org/officeDocument/2006/customXml" ds:itemID="{F8954BA6-D045-4AA1-B13D-3242FC5F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44bcc-6db4-418b-9a53-ab6b6d618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530A9-AFC3-41F9-AA74-09766D73D7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7CCA73-CAB5-488B-BBE2-3B06D77248AA}">
  <ds:schemaRefs>
    <ds:schemaRef ds:uri="http://AddIn Basic XML Script/Basic Nodes"/>
  </ds:schemaRefs>
</ds:datastoreItem>
</file>

<file path=customXml/itemProps5.xml><?xml version="1.0" encoding="utf-8"?>
<ds:datastoreItem xmlns:ds="http://schemas.openxmlformats.org/officeDocument/2006/customXml" ds:itemID="{A4B0EC77-C77C-45B5-944B-DC195BB1D7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A70452-A69A-44A3-8BD1-85FC5368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HPV FactSheet.dotx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HPV FactSheet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 FactSheet</dc:title>
  <dc:subject/>
  <dc:creator>Ilona Mulvey</dc:creator>
  <cp:keywords/>
  <dc:description/>
  <cp:lastModifiedBy>Lucy Anderson</cp:lastModifiedBy>
  <cp:revision>2</cp:revision>
  <cp:lastPrinted>2017-12-16T02:36:00Z</cp:lastPrinted>
  <dcterms:created xsi:type="dcterms:W3CDTF">2024-11-12T23:27:00Z</dcterms:created>
  <dcterms:modified xsi:type="dcterms:W3CDTF">2024-11-12T23:27:00Z</dcterms:modified>
  <cp:category>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0x010100B37B4D130DFFE447A5567FE43FBC0BBC</vt:lpwstr>
  </property>
  <property fmtid="{D5CDD505-2E9C-101B-9397-08002B2CF9AE}" pid="3" name="_dlc_DocIdItemGuid">
    <vt:lpwstr>606eb4fc-c33e-4bf4-81cd-cd1e39d814db</vt:lpwstr>
  </property>
</Properties>
</file>