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6B328" w14:textId="77777777" w:rsidR="00D87E6D" w:rsidRPr="00D87E6D" w:rsidRDefault="00D87E6D" w:rsidP="00D87E6D">
      <w:pPr>
        <w:pStyle w:val="title"/>
      </w:pPr>
      <w:bookmarkStart w:id="0" w:name="_Toc232584364"/>
      <w:bookmarkStart w:id="1" w:name="_Toc363801244"/>
      <w:r>
        <w:rPr>
          <w:noProof/>
          <w:lang w:eastAsia="en-AU" w:bidi="ar-SA"/>
        </w:rPr>
        <w:drawing>
          <wp:inline distT="0" distB="0" distL="0" distR="0" wp14:anchorId="6316B34B" wp14:editId="6316B34C">
            <wp:extent cx="1717288" cy="65118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v-logo-withoutwhitebackground.png"/>
                    <pic:cNvPicPr/>
                  </pic:nvPicPr>
                  <pic:blipFill>
                    <a:blip r:embed="rId10">
                      <a:extLst>
                        <a:ext uri="{28A0092B-C50C-407E-A947-70E740481C1C}">
                          <a14:useLocalDpi xmlns:a14="http://schemas.microsoft.com/office/drawing/2010/main" val="0"/>
                        </a:ext>
                      </a:extLst>
                    </a:blip>
                    <a:stretch>
                      <a:fillRect/>
                    </a:stretch>
                  </pic:blipFill>
                  <pic:spPr>
                    <a:xfrm>
                      <a:off x="0" y="0"/>
                      <a:ext cx="1723262" cy="653452"/>
                    </a:xfrm>
                    <a:prstGeom prst="rect">
                      <a:avLst/>
                    </a:prstGeom>
                  </pic:spPr>
                </pic:pic>
              </a:graphicData>
            </a:graphic>
          </wp:inline>
        </w:drawing>
      </w:r>
      <w:bookmarkEnd w:id="0"/>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4"/>
      </w:tblGrid>
      <w:tr w:rsidR="00AD76DF" w14:paraId="6316B32B" w14:textId="77777777" w:rsidTr="00AD76DF">
        <w:trPr>
          <w:trHeight w:val="682"/>
        </w:trPr>
        <w:tc>
          <w:tcPr>
            <w:tcW w:w="9889" w:type="dxa"/>
          </w:tcPr>
          <w:p w14:paraId="6E12F8FC" w14:textId="2B8BFE97" w:rsidR="00425D5A" w:rsidRDefault="00D877DE" w:rsidP="00AD76DF">
            <w:pPr>
              <w:pStyle w:val="bhead"/>
              <w:ind w:left="0"/>
              <w:rPr>
                <w:b/>
                <w:sz w:val="28"/>
                <w:szCs w:val="28"/>
              </w:rPr>
            </w:pPr>
            <w:r>
              <w:rPr>
                <w:b/>
                <w:sz w:val="28"/>
                <w:szCs w:val="28"/>
              </w:rPr>
              <w:t>ITSHPV2018-1</w:t>
            </w:r>
            <w:r w:rsidR="00743250">
              <w:rPr>
                <w:b/>
                <w:sz w:val="28"/>
                <w:szCs w:val="28"/>
              </w:rPr>
              <w:t>1</w:t>
            </w:r>
            <w:r>
              <w:rPr>
                <w:b/>
                <w:sz w:val="28"/>
                <w:szCs w:val="28"/>
              </w:rPr>
              <w:t>5</w:t>
            </w:r>
            <w:r w:rsidR="00743250">
              <w:rPr>
                <w:b/>
                <w:sz w:val="28"/>
                <w:szCs w:val="28"/>
              </w:rPr>
              <w:t xml:space="preserve"> Pathology Equipment and Associated Consumables</w:t>
            </w:r>
          </w:p>
          <w:p w14:paraId="21FA0315" w14:textId="4BC20347" w:rsidR="00607407" w:rsidRDefault="00743250" w:rsidP="00AD76DF">
            <w:pPr>
              <w:pStyle w:val="bhead"/>
              <w:ind w:left="0"/>
              <w:rPr>
                <w:b/>
                <w:sz w:val="28"/>
                <w:szCs w:val="28"/>
              </w:rPr>
            </w:pPr>
            <w:r>
              <w:rPr>
                <w:b/>
                <w:sz w:val="28"/>
                <w:szCs w:val="28"/>
              </w:rPr>
              <w:t>Thursday</w:t>
            </w:r>
            <w:r w:rsidR="00607407">
              <w:rPr>
                <w:b/>
                <w:sz w:val="28"/>
                <w:szCs w:val="28"/>
              </w:rPr>
              <w:t xml:space="preserve"> </w:t>
            </w:r>
            <w:r>
              <w:rPr>
                <w:b/>
                <w:sz w:val="28"/>
                <w:szCs w:val="28"/>
              </w:rPr>
              <w:t>22</w:t>
            </w:r>
            <w:r w:rsidRPr="00743250">
              <w:rPr>
                <w:b/>
                <w:sz w:val="28"/>
                <w:szCs w:val="28"/>
                <w:vertAlign w:val="superscript"/>
              </w:rPr>
              <w:t>nd</w:t>
            </w:r>
            <w:r>
              <w:rPr>
                <w:b/>
                <w:sz w:val="28"/>
                <w:szCs w:val="28"/>
              </w:rPr>
              <w:t xml:space="preserve"> March</w:t>
            </w:r>
            <w:r w:rsidR="00607407">
              <w:rPr>
                <w:b/>
                <w:sz w:val="28"/>
                <w:szCs w:val="28"/>
              </w:rPr>
              <w:t xml:space="preserve"> </w:t>
            </w:r>
            <w:r>
              <w:rPr>
                <w:b/>
                <w:sz w:val="28"/>
                <w:szCs w:val="28"/>
              </w:rPr>
              <w:t>2.00pm – 3.</w:t>
            </w:r>
            <w:r w:rsidR="00607407">
              <w:rPr>
                <w:b/>
                <w:sz w:val="28"/>
                <w:szCs w:val="28"/>
              </w:rPr>
              <w:t>30</w:t>
            </w:r>
            <w:r>
              <w:rPr>
                <w:b/>
                <w:sz w:val="28"/>
                <w:szCs w:val="28"/>
              </w:rPr>
              <w:t>p</w:t>
            </w:r>
            <w:r w:rsidR="00607407">
              <w:rPr>
                <w:b/>
                <w:sz w:val="28"/>
                <w:szCs w:val="28"/>
              </w:rPr>
              <w:t>m</w:t>
            </w:r>
          </w:p>
          <w:p w14:paraId="6316B329" w14:textId="27A440F5" w:rsidR="00AD76DF" w:rsidRPr="002D2462" w:rsidRDefault="00AD76DF" w:rsidP="00AD76DF">
            <w:pPr>
              <w:pStyle w:val="bhead"/>
              <w:ind w:left="0"/>
              <w:rPr>
                <w:b/>
                <w:sz w:val="28"/>
                <w:szCs w:val="28"/>
              </w:rPr>
            </w:pPr>
            <w:r>
              <w:rPr>
                <w:b/>
                <w:sz w:val="28"/>
                <w:szCs w:val="28"/>
              </w:rPr>
              <w:t xml:space="preserve">Industry Briefing </w:t>
            </w:r>
            <w:r w:rsidR="00425D5A">
              <w:rPr>
                <w:b/>
                <w:sz w:val="28"/>
                <w:szCs w:val="28"/>
              </w:rPr>
              <w:t>– Q&amp;A Responses</w:t>
            </w:r>
            <w:bookmarkStart w:id="2" w:name="_GoBack"/>
            <w:bookmarkEnd w:id="2"/>
          </w:p>
        </w:tc>
      </w:tr>
    </w:tbl>
    <w:p w14:paraId="347911A3" w14:textId="607A6F38" w:rsidR="00696ED3" w:rsidRPr="00607407" w:rsidRDefault="00696ED3" w:rsidP="00696ED3">
      <w:pPr>
        <w:pStyle w:val="bhead"/>
        <w:ind w:left="0"/>
        <w:rPr>
          <w:sz w:val="20"/>
          <w:szCs w:val="20"/>
        </w:rPr>
      </w:pPr>
      <w:r w:rsidRPr="00607407">
        <w:rPr>
          <w:sz w:val="20"/>
          <w:szCs w:val="20"/>
        </w:rPr>
        <w:t>Q:</w:t>
      </w:r>
      <w:r>
        <w:rPr>
          <w:sz w:val="20"/>
          <w:szCs w:val="20"/>
        </w:rPr>
        <w:t xml:space="preserve"> </w:t>
      </w:r>
      <w:r w:rsidR="00743250" w:rsidRPr="00743250">
        <w:rPr>
          <w:b/>
          <w:sz w:val="20"/>
          <w:szCs w:val="20"/>
          <w:u w:val="single"/>
        </w:rPr>
        <w:t>Will tenders be run through Tenders Vic or HPV Procurement Portal?</w:t>
      </w:r>
    </w:p>
    <w:p w14:paraId="51F259A3" w14:textId="729A0511" w:rsidR="00743250" w:rsidRPr="00743250" w:rsidRDefault="00743250" w:rsidP="00743250">
      <w:pPr>
        <w:pStyle w:val="HPVNormal"/>
        <w:spacing w:before="170" w:after="40" w:line="264" w:lineRule="auto"/>
        <w:rPr>
          <w:rFonts w:eastAsia="Calibri" w:cs="Arial"/>
          <w:color w:val="415968"/>
          <w:sz w:val="20"/>
          <w:szCs w:val="20"/>
          <w:lang w:val="en-GB" w:bidi="en-US"/>
        </w:rPr>
      </w:pPr>
      <w:r w:rsidRPr="00743250">
        <w:rPr>
          <w:rFonts w:eastAsia="Calibri" w:cs="Arial"/>
          <w:color w:val="415968"/>
          <w:sz w:val="20"/>
          <w:szCs w:val="20"/>
          <w:lang w:val="en-GB" w:bidi="en-US"/>
        </w:rPr>
        <w:t>For pathology tenders, will be combination.</w:t>
      </w:r>
      <w:r w:rsidR="002D2462">
        <w:rPr>
          <w:rFonts w:eastAsia="Calibri" w:cs="Arial"/>
          <w:color w:val="415968"/>
          <w:sz w:val="20"/>
          <w:szCs w:val="20"/>
          <w:lang w:val="en-GB" w:bidi="en-US"/>
        </w:rPr>
        <w:t xml:space="preserve"> </w:t>
      </w:r>
      <w:r w:rsidRPr="00743250">
        <w:rPr>
          <w:rFonts w:eastAsia="Calibri" w:cs="Arial"/>
          <w:color w:val="415968"/>
          <w:sz w:val="20"/>
          <w:szCs w:val="20"/>
          <w:lang w:val="en-GB" w:bidi="en-US"/>
        </w:rPr>
        <w:t>For any sourcing activity being undertaken through HPV, tender will be run through HPV Procurement Portal.</w:t>
      </w:r>
    </w:p>
    <w:p w14:paraId="4F171BE9" w14:textId="19C14C99" w:rsidR="00743250" w:rsidRDefault="00743250" w:rsidP="00743250">
      <w:pPr>
        <w:pStyle w:val="HPVNormal"/>
        <w:spacing w:before="170" w:after="40" w:line="264" w:lineRule="auto"/>
        <w:contextualSpacing w:val="0"/>
        <w:rPr>
          <w:rFonts w:eastAsia="Calibri" w:cs="Arial"/>
          <w:color w:val="415968"/>
          <w:sz w:val="20"/>
          <w:szCs w:val="20"/>
          <w:lang w:val="en-GB" w:bidi="en-US"/>
        </w:rPr>
      </w:pPr>
      <w:r w:rsidRPr="00743250">
        <w:rPr>
          <w:rFonts w:eastAsia="Calibri" w:cs="Arial"/>
          <w:color w:val="415968"/>
          <w:sz w:val="20"/>
          <w:szCs w:val="20"/>
          <w:lang w:val="en-GB" w:bidi="en-US"/>
        </w:rPr>
        <w:t>If health service undertaking own tender (within HPV framework) without HPV’s involvement, the process will be run in accordance with the health service’s own processes and policies therefore may include utilization of Tenders Vic.</w:t>
      </w:r>
    </w:p>
    <w:p w14:paraId="542A20FB" w14:textId="05C8D85D" w:rsidR="00AD76DF" w:rsidRDefault="00696ED3" w:rsidP="00743250">
      <w:pPr>
        <w:pStyle w:val="HPVNormal"/>
        <w:spacing w:before="170" w:after="40" w:line="264" w:lineRule="auto"/>
        <w:contextualSpacing w:val="0"/>
        <w:rPr>
          <w:rFonts w:ascii="Cambria" w:eastAsia="Calibri" w:hAnsi="Cambria" w:cs="Cambria"/>
          <w:color w:val="3A775E"/>
          <w:sz w:val="20"/>
          <w:szCs w:val="20"/>
          <w:lang w:val="en-GB" w:bidi="en-US"/>
        </w:rPr>
      </w:pPr>
      <w:r w:rsidRPr="00696ED3">
        <w:rPr>
          <w:rFonts w:ascii="Cambria" w:eastAsia="Calibri" w:hAnsi="Cambria" w:cs="Cambria"/>
          <w:color w:val="3A775E"/>
          <w:sz w:val="20"/>
          <w:szCs w:val="20"/>
          <w:lang w:val="en-GB" w:bidi="en-US"/>
        </w:rPr>
        <w:t>Q</w:t>
      </w:r>
      <w:r w:rsidRPr="00696ED3">
        <w:rPr>
          <w:rFonts w:asciiTheme="majorHAnsi" w:hAnsiTheme="majorHAnsi"/>
          <w:sz w:val="20"/>
          <w:szCs w:val="20"/>
        </w:rPr>
        <w:t>:</w:t>
      </w:r>
      <w:r w:rsidR="00AD76DF" w:rsidRPr="00AD76DF">
        <w:rPr>
          <w:rFonts w:ascii="Cambria" w:eastAsia="Calibri" w:hAnsi="Cambria" w:cs="Cambria"/>
          <w:color w:val="3A775E"/>
          <w:sz w:val="28"/>
          <w:szCs w:val="28"/>
          <w:lang w:val="en-GB" w:bidi="en-US"/>
        </w:rPr>
        <w:t xml:space="preserve"> </w:t>
      </w:r>
      <w:r w:rsidR="00743250" w:rsidRPr="00743250">
        <w:rPr>
          <w:rFonts w:ascii="Cambria" w:eastAsia="Calibri" w:hAnsi="Cambria" w:cs="Cambria"/>
          <w:b/>
          <w:color w:val="3A775E"/>
          <w:sz w:val="20"/>
          <w:szCs w:val="20"/>
          <w:u w:val="single"/>
          <w:lang w:val="en-GB" w:bidi="en-US"/>
        </w:rPr>
        <w:t>Can multiple people access the HPV procurement Portal?</w:t>
      </w:r>
    </w:p>
    <w:p w14:paraId="35CAFF92" w14:textId="77777777" w:rsidR="00743250" w:rsidRDefault="00743250" w:rsidP="007F56BC">
      <w:pPr>
        <w:pStyle w:val="bhead"/>
        <w:ind w:left="0"/>
        <w:rPr>
          <w:rFonts w:ascii="Arial" w:hAnsi="Arial" w:cs="Arial"/>
          <w:color w:val="415968"/>
          <w:sz w:val="20"/>
          <w:szCs w:val="20"/>
        </w:rPr>
      </w:pPr>
      <w:r w:rsidRPr="00743250">
        <w:rPr>
          <w:rFonts w:ascii="Arial" w:hAnsi="Arial" w:cs="Arial"/>
          <w:color w:val="415968"/>
          <w:sz w:val="20"/>
          <w:szCs w:val="20"/>
        </w:rPr>
        <w:t>Yes the portal has the capability for multiple people from an organization to login and review the documents at the same time.</w:t>
      </w:r>
    </w:p>
    <w:p w14:paraId="19AB384E" w14:textId="4CC260CF" w:rsidR="00696ED3" w:rsidRPr="00696ED3" w:rsidRDefault="007F56BC" w:rsidP="007F56BC">
      <w:pPr>
        <w:pStyle w:val="bhead"/>
        <w:ind w:left="0"/>
        <w:rPr>
          <w:sz w:val="20"/>
          <w:szCs w:val="20"/>
        </w:rPr>
      </w:pPr>
      <w:r w:rsidRPr="00607407">
        <w:rPr>
          <w:sz w:val="20"/>
          <w:szCs w:val="20"/>
        </w:rPr>
        <w:t xml:space="preserve">Q: </w:t>
      </w:r>
      <w:r w:rsidR="00743250" w:rsidRPr="00743250">
        <w:rPr>
          <w:b/>
          <w:sz w:val="20"/>
          <w:szCs w:val="20"/>
          <w:u w:val="single"/>
        </w:rPr>
        <w:t>Does the Header agreement contain a section for pricing?</w:t>
      </w:r>
    </w:p>
    <w:p w14:paraId="585E53BF" w14:textId="77777777" w:rsidR="00743250" w:rsidRPr="00743250" w:rsidRDefault="00743250" w:rsidP="00743250">
      <w:pPr>
        <w:pStyle w:val="bhead"/>
        <w:ind w:left="0"/>
        <w:rPr>
          <w:rFonts w:ascii="Arial" w:hAnsi="Arial" w:cs="Arial"/>
          <w:color w:val="415968"/>
          <w:sz w:val="20"/>
          <w:szCs w:val="20"/>
        </w:rPr>
      </w:pPr>
      <w:r w:rsidRPr="00743250">
        <w:rPr>
          <w:rFonts w:ascii="Arial" w:hAnsi="Arial" w:cs="Arial"/>
          <w:color w:val="415968"/>
          <w:sz w:val="20"/>
          <w:szCs w:val="20"/>
        </w:rPr>
        <w:t xml:space="preserve">HPV header agreement doesn’t contain a section for pricing. </w:t>
      </w:r>
    </w:p>
    <w:p w14:paraId="158ED6FF" w14:textId="77777777" w:rsidR="00743250" w:rsidRDefault="00743250" w:rsidP="00743250">
      <w:pPr>
        <w:pStyle w:val="bhead"/>
        <w:ind w:left="0"/>
        <w:rPr>
          <w:rFonts w:ascii="Arial" w:hAnsi="Arial" w:cs="Arial"/>
          <w:color w:val="415968"/>
          <w:sz w:val="20"/>
          <w:szCs w:val="20"/>
        </w:rPr>
      </w:pPr>
      <w:r w:rsidRPr="00743250">
        <w:rPr>
          <w:rFonts w:ascii="Arial" w:hAnsi="Arial" w:cs="Arial"/>
          <w:color w:val="415968"/>
          <w:sz w:val="20"/>
          <w:szCs w:val="20"/>
        </w:rPr>
        <w:t>HPV will run a supplementary RFQ for generic equipment at later date where pricing will be sourced. All suppliers will be notified prior to release of the supplementary RFQ.</w:t>
      </w:r>
    </w:p>
    <w:p w14:paraId="0DB252BA" w14:textId="46DB504A" w:rsidR="00743250" w:rsidRDefault="00AD76DF" w:rsidP="00743250">
      <w:pPr>
        <w:pStyle w:val="bhead"/>
        <w:ind w:left="0"/>
        <w:rPr>
          <w:b/>
          <w:sz w:val="20"/>
          <w:szCs w:val="20"/>
          <w:u w:val="single"/>
        </w:rPr>
      </w:pPr>
      <w:r w:rsidRPr="00607407">
        <w:rPr>
          <w:sz w:val="20"/>
          <w:szCs w:val="20"/>
        </w:rPr>
        <w:t>Q</w:t>
      </w:r>
      <w:r w:rsidRPr="002832F9">
        <w:rPr>
          <w:sz w:val="20"/>
          <w:szCs w:val="20"/>
        </w:rPr>
        <w:t xml:space="preserve">: </w:t>
      </w:r>
      <w:r w:rsidR="00743250" w:rsidRPr="00743250">
        <w:rPr>
          <w:b/>
          <w:sz w:val="20"/>
          <w:szCs w:val="20"/>
          <w:u w:val="single"/>
        </w:rPr>
        <w:t>How do we register new members?</w:t>
      </w:r>
    </w:p>
    <w:p w14:paraId="0125F900" w14:textId="5A48EEBA" w:rsidR="00743250" w:rsidRPr="00743250" w:rsidRDefault="00743250" w:rsidP="00743250">
      <w:pPr>
        <w:pStyle w:val="bhead"/>
        <w:ind w:left="0"/>
        <w:rPr>
          <w:rFonts w:ascii="Arial" w:hAnsi="Arial" w:cs="Arial"/>
          <w:color w:val="415968"/>
          <w:sz w:val="20"/>
          <w:szCs w:val="20"/>
        </w:rPr>
      </w:pPr>
      <w:r w:rsidRPr="00743250">
        <w:rPr>
          <w:rFonts w:ascii="Arial" w:hAnsi="Arial" w:cs="Arial"/>
          <w:color w:val="415968"/>
          <w:sz w:val="20"/>
          <w:szCs w:val="20"/>
        </w:rPr>
        <w:t>Each supplier will have a nominated Superuser within the HPV Procurement Portal. That Superuser can directly register additional staff members.</w:t>
      </w:r>
    </w:p>
    <w:p w14:paraId="3F5A46B7" w14:textId="77777777" w:rsidR="00743250" w:rsidRDefault="00743250" w:rsidP="00743250">
      <w:pPr>
        <w:pStyle w:val="bhead"/>
        <w:ind w:left="0"/>
        <w:rPr>
          <w:b/>
          <w:sz w:val="20"/>
          <w:szCs w:val="20"/>
          <w:u w:val="single"/>
        </w:rPr>
      </w:pPr>
      <w:r w:rsidRPr="00743250">
        <w:rPr>
          <w:sz w:val="20"/>
          <w:szCs w:val="20"/>
        </w:rPr>
        <w:t>Q:</w:t>
      </w:r>
      <w:r>
        <w:rPr>
          <w:b/>
          <w:sz w:val="20"/>
          <w:szCs w:val="20"/>
          <w:u w:val="single"/>
        </w:rPr>
        <w:t xml:space="preserve"> </w:t>
      </w:r>
      <w:r w:rsidRPr="00743250">
        <w:rPr>
          <w:b/>
          <w:sz w:val="20"/>
          <w:szCs w:val="20"/>
          <w:u w:val="single"/>
        </w:rPr>
        <w:t>For suppliers who have prequalified in previous ITS events, do we need to repeat the same process for this event?</w:t>
      </w:r>
    </w:p>
    <w:p w14:paraId="6384C90E" w14:textId="65166F9E" w:rsidR="00B013CF" w:rsidRPr="00772D7C" w:rsidRDefault="00743250" w:rsidP="00772D7C">
      <w:pPr>
        <w:tabs>
          <w:tab w:val="left" w:pos="2040"/>
        </w:tabs>
        <w:rPr>
          <w:lang w:val="en-GB" w:eastAsia="en-US" w:bidi="en-US"/>
        </w:rPr>
      </w:pPr>
      <w:r w:rsidRPr="00743250">
        <w:rPr>
          <w:rFonts w:ascii="Arial" w:hAnsi="Arial" w:cs="Arial"/>
          <w:color w:val="415968"/>
          <w:sz w:val="20"/>
          <w:szCs w:val="20"/>
          <w:lang w:val="en-GB" w:eastAsia="en-US" w:bidi="en-US"/>
        </w:rPr>
        <w:t>This is a different sourcing event with different requirements therefore all suppliers needs to prequalify.</w:t>
      </w:r>
      <w:r w:rsidR="00772D7C">
        <w:rPr>
          <w:lang w:val="en-GB" w:eastAsia="en-US" w:bidi="en-US"/>
        </w:rPr>
        <w:tab/>
      </w:r>
    </w:p>
    <w:p w14:paraId="6E2BD838" w14:textId="1004A3AF" w:rsidR="007F56BC" w:rsidRDefault="004F4E9D" w:rsidP="00B013CF">
      <w:pPr>
        <w:pStyle w:val="bhead"/>
        <w:ind w:left="0"/>
        <w:rPr>
          <w:b/>
          <w:sz w:val="20"/>
          <w:szCs w:val="20"/>
        </w:rPr>
      </w:pPr>
      <w:r w:rsidRPr="00607407">
        <w:rPr>
          <w:sz w:val="20"/>
          <w:szCs w:val="20"/>
        </w:rPr>
        <w:t xml:space="preserve">Q: </w:t>
      </w:r>
      <w:r w:rsidR="00743250" w:rsidRPr="00743250">
        <w:rPr>
          <w:b/>
          <w:sz w:val="20"/>
          <w:szCs w:val="20"/>
          <w:u w:val="single"/>
        </w:rPr>
        <w:t>Are the categories on the PowerPoint slides the final ITS category?</w:t>
      </w:r>
    </w:p>
    <w:p w14:paraId="617266CC" w14:textId="77777777" w:rsidR="00743250" w:rsidRPr="00743250" w:rsidRDefault="00743250" w:rsidP="00743250">
      <w:pPr>
        <w:pStyle w:val="bhead"/>
        <w:ind w:left="0"/>
        <w:rPr>
          <w:rFonts w:ascii="Arial" w:hAnsi="Arial" w:cs="Arial"/>
          <w:color w:val="415968"/>
          <w:sz w:val="20"/>
          <w:szCs w:val="20"/>
        </w:rPr>
      </w:pPr>
      <w:r w:rsidRPr="00743250">
        <w:rPr>
          <w:rFonts w:ascii="Arial" w:hAnsi="Arial" w:cs="Arial"/>
          <w:color w:val="415968"/>
          <w:sz w:val="20"/>
          <w:szCs w:val="20"/>
        </w:rPr>
        <w:t>The categories have been established with assistance of the HPV Executive Reference Group.</w:t>
      </w:r>
    </w:p>
    <w:p w14:paraId="4D6F7155" w14:textId="77777777" w:rsidR="00743250" w:rsidRDefault="00743250" w:rsidP="00743250">
      <w:pPr>
        <w:pStyle w:val="bhead"/>
        <w:ind w:left="0"/>
        <w:rPr>
          <w:rFonts w:ascii="Arial" w:hAnsi="Arial" w:cs="Arial"/>
          <w:color w:val="415968"/>
          <w:sz w:val="20"/>
          <w:szCs w:val="20"/>
        </w:rPr>
      </w:pPr>
      <w:r w:rsidRPr="00743250">
        <w:rPr>
          <w:rFonts w:ascii="Arial" w:hAnsi="Arial" w:cs="Arial"/>
          <w:color w:val="415968"/>
          <w:sz w:val="20"/>
          <w:szCs w:val="20"/>
        </w:rPr>
        <w:t>If any queries about categories / sub-categories, please send in writing.</w:t>
      </w:r>
    </w:p>
    <w:p w14:paraId="2E18FFF8" w14:textId="30C6FE06" w:rsidR="005F12DC" w:rsidRDefault="005A35F9" w:rsidP="00743250">
      <w:pPr>
        <w:pStyle w:val="bhead"/>
        <w:ind w:left="0"/>
        <w:rPr>
          <w:sz w:val="20"/>
          <w:szCs w:val="20"/>
        </w:rPr>
      </w:pPr>
      <w:r w:rsidRPr="00607407">
        <w:rPr>
          <w:sz w:val="20"/>
          <w:szCs w:val="20"/>
        </w:rPr>
        <w:t>Q:</w:t>
      </w:r>
      <w:r>
        <w:rPr>
          <w:sz w:val="20"/>
          <w:szCs w:val="20"/>
        </w:rPr>
        <w:t xml:space="preserve"> </w:t>
      </w:r>
      <w:r w:rsidR="00743250" w:rsidRPr="00743250">
        <w:rPr>
          <w:b/>
          <w:sz w:val="20"/>
          <w:szCs w:val="20"/>
          <w:u w:val="single"/>
        </w:rPr>
        <w:t>What happens if we can’t agree on the clauses in the Header Agreement? What actions do we need to carry out?</w:t>
      </w:r>
    </w:p>
    <w:p w14:paraId="570F0683" w14:textId="4BAE3328" w:rsidR="005A35F9" w:rsidRPr="00AD76DF" w:rsidRDefault="00743250" w:rsidP="005A35F9">
      <w:pPr>
        <w:pStyle w:val="bhead"/>
        <w:ind w:left="0"/>
        <w:rPr>
          <w:rFonts w:ascii="Arial" w:hAnsi="Arial" w:cs="Arial"/>
          <w:color w:val="415968"/>
          <w:sz w:val="20"/>
          <w:szCs w:val="20"/>
        </w:rPr>
      </w:pPr>
      <w:r w:rsidRPr="00743250">
        <w:rPr>
          <w:rFonts w:ascii="Arial" w:hAnsi="Arial" w:cs="Arial"/>
          <w:color w:val="415968"/>
          <w:sz w:val="20"/>
          <w:szCs w:val="20"/>
        </w:rPr>
        <w:t>Full compliance to T&amp;C’s or the identification of clause departures is required to be submitted by the 20th of April. HPV will undertake negotiations with suppliers to finalize terms, noting full agreement must be reached for the supplier to pre-qualify onto the HPV panel.</w:t>
      </w:r>
    </w:p>
    <w:sectPr w:rsidR="005A35F9" w:rsidRPr="00AD76DF" w:rsidSect="00D87E6D">
      <w:headerReference w:type="even" r:id="rId11"/>
      <w:headerReference w:type="default" r:id="rId12"/>
      <w:footerReference w:type="default" r:id="rId13"/>
      <w:headerReference w:type="first" r:id="rId14"/>
      <w:pgSz w:w="11904" w:h="16829"/>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B5CC9" w14:textId="77777777" w:rsidR="00D34F7C" w:rsidRDefault="00D34F7C" w:rsidP="00D87E6D">
      <w:pPr>
        <w:spacing w:after="0" w:line="240" w:lineRule="auto"/>
      </w:pPr>
      <w:r>
        <w:separator/>
      </w:r>
    </w:p>
  </w:endnote>
  <w:endnote w:type="continuationSeparator" w:id="0">
    <w:p w14:paraId="73E1E696" w14:textId="77777777" w:rsidR="00D34F7C" w:rsidRDefault="00D34F7C" w:rsidP="00D8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Roman">
    <w:altName w:val="Times CE"/>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6B353" w14:textId="77777777" w:rsidR="00552CA7" w:rsidRDefault="001C20BB" w:rsidP="00552CA7">
    <w:pPr>
      <w:pStyle w:val="BasicParagraph"/>
      <w:ind w:firstLine="1136"/>
      <w:rPr>
        <w:rStyle w:val="PageNumber"/>
      </w:rPr>
    </w:pPr>
    <w:r>
      <w:rPr>
        <w:rFonts w:ascii="Arial" w:hAnsi="Arial"/>
        <w:b/>
        <w:noProof/>
        <w:color w:val="415968"/>
        <w:sz w:val="20"/>
        <w:szCs w:val="20"/>
        <w:lang w:val="en-AU" w:eastAsia="en-AU" w:bidi="ar-SA"/>
      </w:rPr>
      <mc:AlternateContent>
        <mc:Choice Requires="wps">
          <w:drawing>
            <wp:anchor distT="0" distB="0" distL="114300" distR="114300" simplePos="0" relativeHeight="251658752" behindDoc="0" locked="0" layoutInCell="1" allowOverlap="1" wp14:anchorId="6316B35C" wp14:editId="6316B35D">
              <wp:simplePos x="0" y="0"/>
              <wp:positionH relativeFrom="column">
                <wp:posOffset>321310</wp:posOffset>
              </wp:positionH>
              <wp:positionV relativeFrom="paragraph">
                <wp:posOffset>49530</wp:posOffset>
              </wp:positionV>
              <wp:extent cx="5819140" cy="0"/>
              <wp:effectExtent l="12700" t="6985" r="6985" b="120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140" cy="0"/>
                      </a:xfrm>
                      <a:prstGeom prst="line">
                        <a:avLst/>
                      </a:prstGeom>
                      <a:noFill/>
                      <a:ln w="9525">
                        <a:solidFill>
                          <a:srgbClr val="4159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D190E" id="Straight Connector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3.9pt" to="48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" strokecolor="#415968"/>
          </w:pict>
        </mc:Fallback>
      </mc:AlternateContent>
    </w:r>
    <w:r>
      <w:rPr>
        <w:rFonts w:ascii="Arial" w:hAnsi="Arial"/>
        <w:b/>
        <w:noProof/>
        <w:color w:val="415968"/>
        <w:sz w:val="20"/>
        <w:szCs w:val="20"/>
        <w:lang w:val="en-AU" w:eastAsia="en-AU" w:bidi="ar-SA"/>
      </w:rPr>
      <mc:AlternateContent>
        <mc:Choice Requires="wps">
          <w:drawing>
            <wp:anchor distT="0" distB="0" distL="114300" distR="114300" simplePos="0" relativeHeight="251657728" behindDoc="0" locked="0" layoutInCell="1" allowOverlap="1" wp14:anchorId="6316B35E" wp14:editId="6316B35F">
              <wp:simplePos x="0" y="0"/>
              <wp:positionH relativeFrom="column">
                <wp:posOffset>661670</wp:posOffset>
              </wp:positionH>
              <wp:positionV relativeFrom="paragraph">
                <wp:posOffset>50800</wp:posOffset>
              </wp:positionV>
              <wp:extent cx="5435600" cy="0"/>
              <wp:effectExtent l="635" t="0" r="2540" b="12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EBA5243" id="Straight Connector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pt,4pt" to="480.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" stroked="f"/>
          </w:pict>
        </mc:Fallback>
      </mc:AlternateContent>
    </w:r>
  </w:p>
  <w:p w14:paraId="6316B355" w14:textId="153A6FFF" w:rsidR="00552CA7" w:rsidRPr="00772D7C" w:rsidRDefault="00772D7C" w:rsidP="00772D7C">
    <w:pPr>
      <w:pStyle w:val="BasicParagraph"/>
      <w:ind w:left="568"/>
      <w:rPr>
        <w:rFonts w:ascii="Arial" w:hAnsi="Arial"/>
        <w:color w:val="415968"/>
        <w:sz w:val="16"/>
        <w:szCs w:val="16"/>
      </w:rPr>
    </w:pPr>
    <w:r>
      <w:rPr>
        <w:rFonts w:ascii="Arial" w:hAnsi="Arial" w:cs="ArialMT"/>
        <w:color w:val="415968"/>
        <w:sz w:val="16"/>
        <w:szCs w:val="16"/>
      </w:rPr>
      <w:t>ITSHPV2018-1</w:t>
    </w:r>
    <w:r w:rsidR="00743250">
      <w:rPr>
        <w:rFonts w:ascii="Arial" w:hAnsi="Arial" w:cs="ArialMT"/>
        <w:color w:val="415968"/>
        <w:sz w:val="16"/>
        <w:szCs w:val="16"/>
      </w:rPr>
      <w:t>1</w:t>
    </w:r>
    <w:r>
      <w:rPr>
        <w:rFonts w:ascii="Arial" w:hAnsi="Arial" w:cs="ArialMT"/>
        <w:color w:val="415968"/>
        <w:sz w:val="16"/>
        <w:szCs w:val="16"/>
      </w:rPr>
      <w:t>5</w:t>
    </w:r>
    <w:r w:rsidR="002832F9">
      <w:rPr>
        <w:rFonts w:ascii="Arial" w:hAnsi="Arial" w:cs="ArialMT"/>
        <w:color w:val="415968"/>
        <w:sz w:val="16"/>
        <w:szCs w:val="16"/>
      </w:rPr>
      <w:t xml:space="preserve"> </w:t>
    </w:r>
    <w:r w:rsidR="00743250">
      <w:rPr>
        <w:rFonts w:ascii="Arial" w:hAnsi="Arial" w:cs="ArialMT"/>
        <w:color w:val="415968"/>
        <w:sz w:val="16"/>
        <w:szCs w:val="16"/>
      </w:rPr>
      <w:t>Pathology Equipment and Associated Consumables</w:t>
    </w:r>
    <w:r w:rsidR="002832F9">
      <w:rPr>
        <w:rFonts w:ascii="Arial" w:hAnsi="Arial" w:cs="ArialMT"/>
        <w:color w:val="415968"/>
        <w:sz w:val="16"/>
        <w:szCs w:val="16"/>
      </w:rPr>
      <w:t xml:space="preserve"> - Industry Briefing</w:t>
    </w:r>
    <w:r w:rsidR="00AD76DF" w:rsidRPr="002832F9">
      <w:rPr>
        <w:rFonts w:ascii="Arial" w:hAnsi="Arial" w:cs="ArialMT"/>
        <w:color w:val="415968"/>
        <w:sz w:val="16"/>
        <w:szCs w:val="16"/>
      </w:rPr>
      <w:tab/>
    </w:r>
    <w:r w:rsidR="007F56BC" w:rsidRPr="002832F9">
      <w:rPr>
        <w:rFonts w:ascii="Arial" w:hAnsi="Arial" w:cs="ArialMT"/>
        <w:color w:val="415968"/>
        <w:sz w:val="16"/>
        <w:szCs w:val="16"/>
      </w:rPr>
      <w:tab/>
    </w:r>
    <w:r w:rsidR="00743250">
      <w:rPr>
        <w:rFonts w:ascii="Arial" w:hAnsi="Arial" w:cs="ArialMT"/>
        <w:color w:val="415968"/>
        <w:sz w:val="16"/>
        <w:szCs w:val="16"/>
      </w:rPr>
      <w:t>22</w:t>
    </w:r>
    <w:r w:rsidR="00AD76DF" w:rsidRPr="002832F9">
      <w:rPr>
        <w:rFonts w:ascii="Arial" w:hAnsi="Arial" w:cs="ArialMT"/>
        <w:color w:val="415968"/>
        <w:sz w:val="16"/>
        <w:szCs w:val="16"/>
      </w:rPr>
      <w:t xml:space="preserve"> </w:t>
    </w:r>
    <w:r w:rsidR="00743250">
      <w:rPr>
        <w:rFonts w:ascii="Arial" w:hAnsi="Arial" w:cs="ArialMT"/>
        <w:color w:val="415968"/>
        <w:sz w:val="16"/>
        <w:szCs w:val="16"/>
      </w:rPr>
      <w:t>March</w:t>
    </w:r>
    <w:r w:rsidR="007F56BC" w:rsidRPr="002832F9">
      <w:rPr>
        <w:rFonts w:ascii="Arial" w:hAnsi="Arial" w:cs="ArialMT"/>
        <w:color w:val="415968"/>
        <w:sz w:val="16"/>
        <w:szCs w:val="16"/>
      </w:rPr>
      <w:t xml:space="preserve"> </w:t>
    </w:r>
    <w:r w:rsidR="00AD76DF" w:rsidRPr="002832F9">
      <w:rPr>
        <w:rFonts w:ascii="Arial" w:hAnsi="Arial" w:cs="ArialMT"/>
        <w:color w:val="415968"/>
        <w:sz w:val="16"/>
        <w:szCs w:val="16"/>
      </w:rPr>
      <w:t>201</w:t>
    </w:r>
    <w:r>
      <w:rPr>
        <w:rFonts w:ascii="Arial" w:hAnsi="Arial" w:cs="ArialMT"/>
        <w:color w:val="415968"/>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DCD48" w14:textId="77777777" w:rsidR="00D34F7C" w:rsidRDefault="00D34F7C" w:rsidP="00D87E6D">
      <w:pPr>
        <w:spacing w:after="0" w:line="240" w:lineRule="auto"/>
      </w:pPr>
      <w:r>
        <w:separator/>
      </w:r>
    </w:p>
  </w:footnote>
  <w:footnote w:type="continuationSeparator" w:id="0">
    <w:p w14:paraId="463D8C4E" w14:textId="77777777" w:rsidR="00D34F7C" w:rsidRDefault="00D34F7C" w:rsidP="00D87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6B351" w14:textId="77777777" w:rsidR="00552CA7" w:rsidRDefault="00D87E6D">
    <w:pPr>
      <w:pStyle w:val="Header"/>
    </w:pPr>
    <w:r>
      <w:rPr>
        <w:noProof/>
        <w:szCs w:val="20"/>
      </w:rPr>
      <w:drawing>
        <wp:anchor distT="0" distB="0" distL="114300" distR="114300" simplePos="0" relativeHeight="251654656" behindDoc="1" locked="0" layoutInCell="1" allowOverlap="1" wp14:anchorId="6316B357" wp14:editId="6316B358">
          <wp:simplePos x="0" y="0"/>
          <wp:positionH relativeFrom="margin">
            <wp:align>center</wp:align>
          </wp:positionH>
          <wp:positionV relativeFrom="margin">
            <wp:align>center</wp:align>
          </wp:positionV>
          <wp:extent cx="7556500" cy="10693400"/>
          <wp:effectExtent l="0" t="0" r="6350" b="0"/>
          <wp:wrapNone/>
          <wp:docPr id="3" name="Picture 3" descr="1814 hpv report 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14 hpv report cover 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462">
      <w:rPr>
        <w:szCs w:val="20"/>
      </w:rPr>
      <w:pict w14:anchorId="6316B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49" type="#_x0000_t75" style="position:absolute;margin-left:0;margin-top:0;width:595pt;height:842pt;z-index:-251656704;mso-wrap-edited:f;mso-position-horizontal:center;mso-position-horizontal-relative:margin;mso-position-vertical:center;mso-position-vertical-relative:margin" wrapcoords="-27 0 -27 21580 21600 21580 21600 0 -27 0">
          <v:imagedata r:id="rId2" o:title="1814 hpv report cover ar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6B352" w14:textId="77777777" w:rsidR="00552CA7" w:rsidRDefault="001C20BB">
    <w:pPr>
      <w:pStyle w:val="Header"/>
    </w:pPr>
    <w:r>
      <w:rPr>
        <w:noProof/>
        <w:szCs w:val="20"/>
      </w:rPr>
      <mc:AlternateContent>
        <mc:Choice Requires="wps">
          <w:drawing>
            <wp:anchor distT="0" distB="0" distL="114300" distR="114300" simplePos="0" relativeHeight="251656704" behindDoc="0" locked="0" layoutInCell="1" allowOverlap="1" wp14:anchorId="6316B35A" wp14:editId="6316B35B">
              <wp:simplePos x="0" y="0"/>
              <wp:positionH relativeFrom="column">
                <wp:posOffset>-750570</wp:posOffset>
              </wp:positionH>
              <wp:positionV relativeFrom="paragraph">
                <wp:posOffset>-473710</wp:posOffset>
              </wp:positionV>
              <wp:extent cx="6817360" cy="792480"/>
              <wp:effectExtent l="0" t="0" r="2540" b="762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7360" cy="792480"/>
                      </a:xfrm>
                      <a:custGeom>
                        <a:avLst/>
                        <a:gdLst>
                          <a:gd name="T0" fmla="*/ 10752 w 10752"/>
                          <a:gd name="T1" fmla="*/ 0 h 1248"/>
                          <a:gd name="T2" fmla="*/ 10752 w 10752"/>
                          <a:gd name="T3" fmla="*/ 528 h 1248"/>
                          <a:gd name="T4" fmla="*/ 0 w 10752"/>
                          <a:gd name="T5" fmla="*/ 1248 h 1248"/>
                          <a:gd name="T6" fmla="*/ 0 w 10752"/>
                          <a:gd name="T7" fmla="*/ 0 h 1248"/>
                          <a:gd name="T8" fmla="*/ 10752 w 10752"/>
                          <a:gd name="T9" fmla="*/ 0 h 1248"/>
                        </a:gdLst>
                        <a:ahLst/>
                        <a:cxnLst>
                          <a:cxn ang="0">
                            <a:pos x="T0" y="T1"/>
                          </a:cxn>
                          <a:cxn ang="0">
                            <a:pos x="T2" y="T3"/>
                          </a:cxn>
                          <a:cxn ang="0">
                            <a:pos x="T4" y="T5"/>
                          </a:cxn>
                          <a:cxn ang="0">
                            <a:pos x="T6" y="T7"/>
                          </a:cxn>
                          <a:cxn ang="0">
                            <a:pos x="T8" y="T9"/>
                          </a:cxn>
                        </a:cxnLst>
                        <a:rect l="0" t="0" r="r" b="b"/>
                        <a:pathLst>
                          <a:path w="10752" h="1248">
                            <a:moveTo>
                              <a:pt x="10752" y="0"/>
                            </a:moveTo>
                            <a:lnTo>
                              <a:pt x="10752" y="528"/>
                            </a:lnTo>
                            <a:lnTo>
                              <a:pt x="0" y="1248"/>
                            </a:lnTo>
                            <a:lnTo>
                              <a:pt x="0" y="0"/>
                            </a:lnTo>
                            <a:lnTo>
                              <a:pt x="10752" y="0"/>
                            </a:lnTo>
                            <a:close/>
                          </a:path>
                        </a:pathLst>
                      </a:custGeom>
                      <a:solidFill>
                        <a:srgbClr val="77AE9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316B363" w14:textId="248A7F95" w:rsidR="00D87E6D" w:rsidRPr="001C20BB" w:rsidRDefault="00D87E6D" w:rsidP="00D87E6D">
                          <w:pPr>
                            <w:rPr>
                              <w:rFonts w:asciiTheme="majorHAnsi" w:hAnsiTheme="majorHAnsi" w:cs="Arial"/>
                              <w:color w:val="FFFFFF" w:themeColor="background1"/>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6B35A" id="Freeform 13" o:spid="_x0000_s1026" style="position:absolute;margin-left:-59.1pt;margin-top:-37.3pt;width:536.8pt;height:6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52,12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" adj="-11796480,,5400" path="m10752,r,528l,1248,,,10752,xe" fillcolor="#77ae99" stroked="f">
              <v:stroke joinstyle="round"/>
              <v:formulas/>
              <v:path arrowok="t" o:connecttype="custom" o:connectlocs="6817360,0;6817360,335280;0,792480;0,0;6817360,0" o:connectangles="0,0,0,0,0" textboxrect="0,0,10752,1248"/>
              <v:textbox>
                <w:txbxContent>
                  <w:p w14:paraId="6316B363" w14:textId="248A7F95" w:rsidR="00D87E6D" w:rsidRPr="001C20BB" w:rsidRDefault="00D87E6D" w:rsidP="00D87E6D">
                    <w:pPr>
                      <w:rPr>
                        <w:rFonts w:asciiTheme="majorHAnsi" w:hAnsiTheme="majorHAnsi" w:cs="Arial"/>
                        <w:color w:val="FFFFFF" w:themeColor="background1"/>
                        <w:sz w:val="56"/>
                        <w:szCs w:val="56"/>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6B356" w14:textId="77777777" w:rsidR="00552CA7" w:rsidRDefault="00D87E6D">
    <w:pPr>
      <w:pStyle w:val="Header"/>
    </w:pPr>
    <w:r>
      <w:rPr>
        <w:noProof/>
        <w:szCs w:val="20"/>
      </w:rPr>
      <w:drawing>
        <wp:anchor distT="0" distB="0" distL="114300" distR="114300" simplePos="0" relativeHeight="251655680" behindDoc="1" locked="0" layoutInCell="1" allowOverlap="1" wp14:anchorId="6316B360" wp14:editId="6316B361">
          <wp:simplePos x="0" y="0"/>
          <wp:positionH relativeFrom="margin">
            <wp:align>center</wp:align>
          </wp:positionH>
          <wp:positionV relativeFrom="margin">
            <wp:align>center</wp:align>
          </wp:positionV>
          <wp:extent cx="7556500" cy="10693400"/>
          <wp:effectExtent l="0" t="0" r="6350" b="0"/>
          <wp:wrapNone/>
          <wp:docPr id="4" name="Picture 4" descr="1814 hpv report 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814 hpv report cover 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462">
      <w:rPr>
        <w:szCs w:val="20"/>
      </w:rPr>
      <w:pict w14:anchorId="6316B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50" type="#_x0000_t75" style="position:absolute;margin-left:0;margin-top:0;width:595pt;height:842pt;z-index:-251655680;mso-wrap-edited:f;mso-position-horizontal:center;mso-position-horizontal-relative:margin;mso-position-vertical:center;mso-position-vertical-relative:margin" wrapcoords="-27 0 -27 21580 21600 21580 21600 0 -27 0">
          <v:imagedata r:id="rId2" o:title="1814 hpv report cover ar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333F1"/>
    <w:multiLevelType w:val="hybridMultilevel"/>
    <w:tmpl w:val="A79819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680989"/>
    <w:multiLevelType w:val="hybridMultilevel"/>
    <w:tmpl w:val="9648E7A2"/>
    <w:lvl w:ilvl="0" w:tplc="94A89AF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15:restartNumberingAfterBreak="0">
    <w:nsid w:val="400009C1"/>
    <w:multiLevelType w:val="hybridMultilevel"/>
    <w:tmpl w:val="C33C4F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C379B7"/>
    <w:multiLevelType w:val="hybridMultilevel"/>
    <w:tmpl w:val="26C6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678380E"/>
    <w:multiLevelType w:val="hybridMultilevel"/>
    <w:tmpl w:val="545A67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6D"/>
    <w:rsid w:val="00020B32"/>
    <w:rsid w:val="00095C08"/>
    <w:rsid w:val="000E234E"/>
    <w:rsid w:val="001C20BB"/>
    <w:rsid w:val="002832F9"/>
    <w:rsid w:val="002D2462"/>
    <w:rsid w:val="002D6D2A"/>
    <w:rsid w:val="00425D5A"/>
    <w:rsid w:val="004931CD"/>
    <w:rsid w:val="004F4E9D"/>
    <w:rsid w:val="005032F8"/>
    <w:rsid w:val="00514D53"/>
    <w:rsid w:val="005206F4"/>
    <w:rsid w:val="00594DB0"/>
    <w:rsid w:val="005A35F9"/>
    <w:rsid w:val="005E6E11"/>
    <w:rsid w:val="005F12DC"/>
    <w:rsid w:val="005F2D73"/>
    <w:rsid w:val="00607407"/>
    <w:rsid w:val="00696ED3"/>
    <w:rsid w:val="006A0874"/>
    <w:rsid w:val="00743250"/>
    <w:rsid w:val="00772D7C"/>
    <w:rsid w:val="007812B0"/>
    <w:rsid w:val="00784FD4"/>
    <w:rsid w:val="00791136"/>
    <w:rsid w:val="007C3277"/>
    <w:rsid w:val="007F56BC"/>
    <w:rsid w:val="00841AF6"/>
    <w:rsid w:val="008517E5"/>
    <w:rsid w:val="008D062A"/>
    <w:rsid w:val="008E65B3"/>
    <w:rsid w:val="00AD76DF"/>
    <w:rsid w:val="00AF56A0"/>
    <w:rsid w:val="00B013CF"/>
    <w:rsid w:val="00BB1041"/>
    <w:rsid w:val="00C63F53"/>
    <w:rsid w:val="00CF14C0"/>
    <w:rsid w:val="00D27AB6"/>
    <w:rsid w:val="00D34F7C"/>
    <w:rsid w:val="00D877DE"/>
    <w:rsid w:val="00D87E6D"/>
    <w:rsid w:val="00E06499"/>
    <w:rsid w:val="00E81B04"/>
    <w:rsid w:val="00EF6EA0"/>
    <w:rsid w:val="00F47C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16B328"/>
  <w15:docId w15:val="{717AEC78-36E1-437C-9938-76A8F6F68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E6D"/>
    <w:rPr>
      <w:rFonts w:ascii="Calibri" w:eastAsia="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D87E6D"/>
    <w:pPr>
      <w:widowControl w:val="0"/>
      <w:suppressAutoHyphens/>
      <w:autoSpaceDE w:val="0"/>
      <w:autoSpaceDN w:val="0"/>
      <w:adjustRightInd w:val="0"/>
      <w:spacing w:before="240" w:after="140" w:line="440" w:lineRule="atLeast"/>
      <w:textAlignment w:val="center"/>
    </w:pPr>
    <w:rPr>
      <w:rFonts w:ascii="Cambria" w:hAnsi="Cambria" w:cs="Cambria"/>
      <w:color w:val="5D0F68"/>
      <w:sz w:val="36"/>
      <w:szCs w:val="36"/>
      <w:lang w:val="en-GB" w:eastAsia="en-US" w:bidi="en-US"/>
    </w:rPr>
  </w:style>
  <w:style w:type="paragraph" w:customStyle="1" w:styleId="bhead">
    <w:name w:val="*b head"/>
    <w:basedOn w:val="Normal"/>
    <w:rsid w:val="00D87E6D"/>
    <w:pPr>
      <w:widowControl w:val="0"/>
      <w:suppressAutoHyphens/>
      <w:autoSpaceDE w:val="0"/>
      <w:autoSpaceDN w:val="0"/>
      <w:adjustRightInd w:val="0"/>
      <w:spacing w:before="170" w:after="57" w:line="300" w:lineRule="atLeast"/>
      <w:ind w:left="567"/>
      <w:textAlignment w:val="center"/>
    </w:pPr>
    <w:rPr>
      <w:rFonts w:ascii="Cambria" w:hAnsi="Cambria" w:cs="Cambria"/>
      <w:color w:val="3A775E"/>
      <w:sz w:val="36"/>
      <w:szCs w:val="36"/>
      <w:lang w:val="en-GB" w:eastAsia="en-US" w:bidi="en-US"/>
    </w:rPr>
  </w:style>
  <w:style w:type="paragraph" w:customStyle="1" w:styleId="title">
    <w:name w:val="*title"/>
    <w:basedOn w:val="Normal"/>
    <w:rsid w:val="00D87E6D"/>
    <w:pPr>
      <w:widowControl w:val="0"/>
      <w:suppressAutoHyphens/>
      <w:autoSpaceDE w:val="0"/>
      <w:autoSpaceDN w:val="0"/>
      <w:adjustRightInd w:val="0"/>
      <w:spacing w:before="227" w:line="560" w:lineRule="atLeast"/>
      <w:textAlignment w:val="center"/>
    </w:pPr>
    <w:rPr>
      <w:rFonts w:ascii="Cambria" w:hAnsi="Cambria" w:cs="Cambria"/>
      <w:color w:val="FFFFFF"/>
      <w:sz w:val="48"/>
      <w:szCs w:val="48"/>
      <w:lang w:eastAsia="en-US" w:bidi="en-US"/>
    </w:rPr>
  </w:style>
  <w:style w:type="paragraph" w:styleId="Header">
    <w:name w:val="header"/>
    <w:basedOn w:val="Normal"/>
    <w:link w:val="HeaderChar"/>
    <w:uiPriority w:val="99"/>
    <w:rsid w:val="00D87E6D"/>
    <w:pPr>
      <w:tabs>
        <w:tab w:val="center" w:pos="4320"/>
        <w:tab w:val="right" w:pos="8640"/>
      </w:tabs>
    </w:pPr>
  </w:style>
  <w:style w:type="character" w:customStyle="1" w:styleId="HeaderChar">
    <w:name w:val="Header Char"/>
    <w:basedOn w:val="DefaultParagraphFont"/>
    <w:link w:val="Header"/>
    <w:uiPriority w:val="99"/>
    <w:rsid w:val="00D87E6D"/>
    <w:rPr>
      <w:rFonts w:ascii="Calibri" w:eastAsia="Calibri" w:hAnsi="Calibri" w:cs="Times New Roman"/>
      <w:lang w:eastAsia="en-AU"/>
    </w:rPr>
  </w:style>
  <w:style w:type="character" w:styleId="PageNumber">
    <w:name w:val="page number"/>
    <w:rsid w:val="00D87E6D"/>
    <w:rPr>
      <w:rFonts w:ascii="Arial" w:hAnsi="Arial"/>
      <w:b/>
      <w:color w:val="415968"/>
      <w:sz w:val="20"/>
    </w:rPr>
  </w:style>
  <w:style w:type="paragraph" w:customStyle="1" w:styleId="BasicParagraph">
    <w:name w:val="[Basic Paragraph]"/>
    <w:basedOn w:val="Normal"/>
    <w:rsid w:val="00D87E6D"/>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bidi="en-US"/>
    </w:rPr>
  </w:style>
  <w:style w:type="paragraph" w:customStyle="1" w:styleId="HPVNormal">
    <w:name w:val="HPV Normal"/>
    <w:basedOn w:val="Normal"/>
    <w:qFormat/>
    <w:rsid w:val="00D87E6D"/>
    <w:pPr>
      <w:spacing w:before="120" w:after="0" w:line="300" w:lineRule="auto"/>
      <w:contextualSpacing/>
    </w:pPr>
    <w:rPr>
      <w:rFonts w:ascii="Arial" w:eastAsiaTheme="minorHAnsi" w:hAnsi="Arial" w:cstheme="minorBidi"/>
      <w:sz w:val="21"/>
      <w:lang w:eastAsia="en-US"/>
    </w:rPr>
  </w:style>
  <w:style w:type="paragraph" w:styleId="EndnoteText">
    <w:name w:val="endnote text"/>
    <w:basedOn w:val="Normal"/>
    <w:link w:val="EndnoteTextChar"/>
    <w:uiPriority w:val="99"/>
    <w:unhideWhenUsed/>
    <w:rsid w:val="00D87E6D"/>
    <w:pPr>
      <w:spacing w:after="0" w:line="240" w:lineRule="auto"/>
    </w:pPr>
    <w:rPr>
      <w:rFonts w:ascii="Arial" w:eastAsiaTheme="minorHAnsi" w:hAnsi="Arial" w:cstheme="minorBidi"/>
      <w:sz w:val="20"/>
      <w:szCs w:val="20"/>
      <w:lang w:eastAsia="en-US"/>
    </w:rPr>
  </w:style>
  <w:style w:type="character" w:customStyle="1" w:styleId="EndnoteTextChar">
    <w:name w:val="Endnote Text Char"/>
    <w:basedOn w:val="DefaultParagraphFont"/>
    <w:link w:val="EndnoteText"/>
    <w:uiPriority w:val="99"/>
    <w:rsid w:val="00D87E6D"/>
    <w:rPr>
      <w:rFonts w:ascii="Arial" w:hAnsi="Arial"/>
      <w:sz w:val="20"/>
      <w:szCs w:val="20"/>
    </w:rPr>
  </w:style>
  <w:style w:type="character" w:styleId="EndnoteReference">
    <w:name w:val="endnote reference"/>
    <w:basedOn w:val="DefaultParagraphFont"/>
    <w:uiPriority w:val="99"/>
    <w:unhideWhenUsed/>
    <w:rsid w:val="00D87E6D"/>
    <w:rPr>
      <w:vertAlign w:val="superscript"/>
    </w:rPr>
  </w:style>
  <w:style w:type="paragraph" w:styleId="BalloonText">
    <w:name w:val="Balloon Text"/>
    <w:basedOn w:val="Normal"/>
    <w:link w:val="BalloonTextChar"/>
    <w:uiPriority w:val="99"/>
    <w:semiHidden/>
    <w:unhideWhenUsed/>
    <w:rsid w:val="00D87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E6D"/>
    <w:rPr>
      <w:rFonts w:ascii="Tahoma" w:eastAsia="Calibri" w:hAnsi="Tahoma" w:cs="Tahoma"/>
      <w:sz w:val="16"/>
      <w:szCs w:val="16"/>
      <w:lang w:eastAsia="en-AU"/>
    </w:rPr>
  </w:style>
  <w:style w:type="paragraph" w:styleId="Footer">
    <w:name w:val="footer"/>
    <w:basedOn w:val="Normal"/>
    <w:link w:val="FooterChar"/>
    <w:uiPriority w:val="99"/>
    <w:unhideWhenUsed/>
    <w:rsid w:val="00D87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E6D"/>
    <w:rPr>
      <w:rFonts w:ascii="Calibri" w:eastAsia="Calibri" w:hAnsi="Calibri" w:cs="Times New Roman"/>
      <w:lang w:eastAsia="en-AU"/>
    </w:rPr>
  </w:style>
  <w:style w:type="table" w:styleId="TableGrid">
    <w:name w:val="Table Grid"/>
    <w:basedOn w:val="TableNormal"/>
    <w:uiPriority w:val="59"/>
    <w:rsid w:val="00D87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7CD4"/>
    <w:pPr>
      <w:autoSpaceDE w:val="0"/>
      <w:autoSpaceDN w:val="0"/>
      <w:adjustRightInd w:val="0"/>
      <w:spacing w:after="0" w:line="240" w:lineRule="auto"/>
    </w:pPr>
    <w:rPr>
      <w:rFonts w:ascii="Corbel" w:hAnsi="Corbel" w:cs="Corbe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42DB9CDA223C4097FA78E103304CD2" ma:contentTypeVersion="1" ma:contentTypeDescription="Create a new document." ma:contentTypeScope="" ma:versionID="4255e198545b8e0a239f9ef9c78acfdf">
  <xsd:schema xmlns:xsd="http://www.w3.org/2001/XMLSchema" xmlns:p="http://schemas.microsoft.com/office/2006/metadata/properties" xmlns:ns2="76e53fa5-4339-42a7-b59f-2bb893cd4afe" targetNamespace="http://schemas.microsoft.com/office/2006/metadata/properties" ma:root="true" ma:fieldsID="d4551c90aaed347771e02159a102329c" ns2:_="">
    <xsd:import namespace="76e53fa5-4339-42a7-b59f-2bb893cd4afe"/>
    <xsd:element name="properties">
      <xsd:complexType>
        <xsd:sequence>
          <xsd:element name="documentManagement">
            <xsd:complexType>
              <xsd:all>
                <xsd:element ref="ns2:Tag" minOccurs="0"/>
              </xsd:all>
            </xsd:complexType>
          </xsd:element>
        </xsd:sequence>
      </xsd:complexType>
    </xsd:element>
  </xsd:schema>
  <xsd:schema xmlns:xsd="http://www.w3.org/2001/XMLSchema" xmlns:dms="http://schemas.microsoft.com/office/2006/documentManagement/types" targetNamespace="76e53fa5-4339-42a7-b59f-2bb893cd4afe" elementFormDefault="qualified">
    <xsd:import namespace="http://schemas.microsoft.com/office/2006/documentManagement/types"/>
    <xsd:element name="Tag" ma:index="8" nillable="true" ma:displayName="Tag" ma:description="Generic search term" ma:internalName="Ta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ag xmlns="76e53fa5-4339-42a7-b59f-2bb893cd4afe" xsi:nil="true"/>
  </documentManagement>
</p:properties>
</file>

<file path=customXml/itemProps1.xml><?xml version="1.0" encoding="utf-8"?>
<ds:datastoreItem xmlns:ds="http://schemas.openxmlformats.org/officeDocument/2006/customXml" ds:itemID="{B3476DF8-900B-4A06-B23E-DEFF885B102A}">
  <ds:schemaRefs>
    <ds:schemaRef ds:uri="http://schemas.microsoft.com/sharepoint/v3/contenttype/forms"/>
  </ds:schemaRefs>
</ds:datastoreItem>
</file>

<file path=customXml/itemProps2.xml><?xml version="1.0" encoding="utf-8"?>
<ds:datastoreItem xmlns:ds="http://schemas.openxmlformats.org/officeDocument/2006/customXml" ds:itemID="{20F75199-9E71-4476-AB13-752258E2C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53fa5-4339-42a7-b59f-2bb893cd4af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558F6A1-8837-4CBB-BA81-CCFF932F3902}">
  <ds:schemaRefs>
    <ds:schemaRef ds:uri="http://purl.org/dc/dcmitype/"/>
    <ds:schemaRef ds:uri="http://schemas.microsoft.com/office/2006/documentManagement/types"/>
    <ds:schemaRef ds:uri="http://purl.org/dc/terms/"/>
    <ds:schemaRef ds:uri="http://schemas.microsoft.com/office/2006/metadata/properties"/>
    <ds:schemaRef ds:uri="http://purl.org/dc/elements/1.1/"/>
    <ds:schemaRef ds:uri="http://www.w3.org/XML/1998/namespace"/>
    <ds:schemaRef ds:uri="76e53fa5-4339-42a7-b59f-2bb893cd4af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HPV Policy Template</vt:lpstr>
    </vt:vector>
  </TitlesOfParts>
  <Company>HP</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HPV Policy Template</dc:title>
  <dc:creator>Kate Babic</dc:creator>
  <cp:lastModifiedBy>Mark Lennen</cp:lastModifiedBy>
  <cp:revision>3</cp:revision>
  <dcterms:created xsi:type="dcterms:W3CDTF">2018-03-22T23:03:00Z</dcterms:created>
  <dcterms:modified xsi:type="dcterms:W3CDTF">2018-03-22T23:04:00Z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0x010100FD42DB9CDA223C4097FA78E103304CD2</vt:lpwstr>
  </property>
</Properties>
</file>